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94" w:rsidRDefault="00F17894">
      <w:pPr>
        <w:pStyle w:val="AppendixTitle"/>
        <w:rPr>
          <w:w w:val="100"/>
        </w:rPr>
      </w:pPr>
      <w:r>
        <w:rPr>
          <w:w w:val="100"/>
        </w:rPr>
        <w:t>Transitional Rules and Procedures</w:t>
      </w:r>
      <w:r>
        <w:rPr>
          <w:w w:val="100"/>
        </w:rPr>
        <w:br/>
        <w:t>until Torrens System Abolished</w:t>
      </w:r>
      <w:r>
        <w:rPr>
          <w:w w:val="100"/>
          <w:vertAlign w:val="superscript"/>
        </w:rPr>
        <w:footnoteReference w:id="1"/>
      </w:r>
      <w:r>
        <w:rPr>
          <w:w w:val="100"/>
        </w:rPr>
        <w:t xml:space="preserve"> </w:t>
      </w:r>
    </w:p>
    <w:p w:rsidR="00F17894" w:rsidRDefault="00F17894">
      <w:pPr>
        <w:pStyle w:val="Text"/>
        <w:rPr>
          <w:w w:val="100"/>
        </w:rPr>
      </w:pPr>
      <w:r>
        <w:rPr>
          <w:w w:val="100"/>
        </w:rPr>
        <w:t xml:space="preserve">The </w:t>
      </w:r>
      <w:smartTag w:uri="urn:schemas-microsoft-com:office:smarttags" w:element="place">
        <w:r>
          <w:rPr>
            <w:w w:val="100"/>
          </w:rPr>
          <w:t>Torrens</w:t>
        </w:r>
      </w:smartTag>
      <w:r>
        <w:rPr>
          <w:w w:val="100"/>
        </w:rPr>
        <w:t xml:space="preserve"> system of land title registration was abolished as of January 1, 2000. Transitional rules and procedures for the period from January 1, 1997, to January 1, 2000, are described below.</w:t>
      </w:r>
      <w:r>
        <w:rPr>
          <w:w w:val="100"/>
          <w:vertAlign w:val="superscript"/>
        </w:rPr>
        <w:footnoteReference w:id="2"/>
      </w:r>
      <w:r>
        <w:rPr>
          <w:w w:val="100"/>
        </w:rPr>
        <w:t xml:space="preserve"> </w:t>
      </w:r>
    </w:p>
    <w:p w:rsidR="00F17894" w:rsidRDefault="00F17894">
      <w:pPr>
        <w:pStyle w:val="Text"/>
        <w:rPr>
          <w:w w:val="100"/>
        </w:rPr>
      </w:pPr>
      <w:r>
        <w:rPr>
          <w:w w:val="100"/>
        </w:rPr>
        <w:t>1. Proceedings to register title to land are no longer allowed.</w:t>
      </w:r>
    </w:p>
    <w:p w:rsidR="00F17894" w:rsidRDefault="00F17894">
      <w:pPr>
        <w:pStyle w:val="Text"/>
        <w:rPr>
          <w:w w:val="100"/>
        </w:rPr>
      </w:pPr>
      <w:r>
        <w:rPr>
          <w:w w:val="100"/>
        </w:rPr>
        <w:t xml:space="preserve">2. “Adverse instruments”—defined generally as instruments that affect but do not convey title and which do not require the registered owner’s consent, such as mechanic’s liens, judgments and </w:t>
      </w:r>
      <w:proofErr w:type="spellStart"/>
      <w:r>
        <w:rPr>
          <w:i/>
          <w:iCs/>
          <w:w w:val="100"/>
        </w:rPr>
        <w:t>lis</w:t>
      </w:r>
      <w:proofErr w:type="spellEnd"/>
      <w:r>
        <w:rPr>
          <w:i/>
          <w:iCs/>
          <w:w w:val="100"/>
        </w:rPr>
        <w:t xml:space="preserve"> </w:t>
      </w:r>
      <w:proofErr w:type="spellStart"/>
      <w:r>
        <w:rPr>
          <w:i/>
          <w:iCs/>
          <w:w w:val="100"/>
        </w:rPr>
        <w:t>pendens</w:t>
      </w:r>
      <w:proofErr w:type="spellEnd"/>
      <w:r>
        <w:rPr>
          <w:w w:val="100"/>
        </w:rPr>
        <w:t xml:space="preserve"> notices—will continue to be accepted for registration until the title certificate for the registered property has been delivered by the registrar to the county clerk or register for recording.</w:t>
      </w:r>
    </w:p>
    <w:p w:rsidR="00F17894" w:rsidRDefault="00F17894">
      <w:pPr>
        <w:pStyle w:val="Text"/>
        <w:rPr>
          <w:w w:val="100"/>
        </w:rPr>
      </w:pPr>
      <w:r>
        <w:rPr>
          <w:w w:val="100"/>
        </w:rPr>
        <w:t>3. “Voluntary instruments”—defined as those that convey title or affect title, and the validity of which is dependent upon the consent of the registered owner, such as deeds, mortgages and leases— will not be registered. A voluntary instrument must be delivered to the registrar, who is directed to deliver to the county clerk or county register, for recording, the document and the certificate of title covering the land involved, containing memorials for all instruments filed with the registrar.</w:t>
      </w:r>
    </w:p>
    <w:p w:rsidR="00F17894" w:rsidRDefault="00F17894">
      <w:pPr>
        <w:pStyle w:val="Text"/>
        <w:rPr>
          <w:w w:val="100"/>
        </w:rPr>
      </w:pPr>
      <w:r>
        <w:rPr>
          <w:w w:val="100"/>
        </w:rPr>
        <w:t>4. The registrar is directed to deliver to the county clerk or county register for recording, on or before January 1, 2000, all remaining certificates of title.</w:t>
      </w:r>
    </w:p>
    <w:p w:rsidR="00F17894" w:rsidRDefault="00F17894">
      <w:pPr>
        <w:pStyle w:val="Text"/>
        <w:rPr>
          <w:w w:val="100"/>
        </w:rPr>
      </w:pPr>
      <w:r>
        <w:rPr>
          <w:w w:val="100"/>
        </w:rPr>
        <w:t>5. After a certificate of title is recorded, the land can be conveyed or encumbered in the same manner as unregistered land—that is, by recording or filing the necessary document in the county clerk’s or county register’s office.</w:t>
      </w:r>
    </w:p>
    <w:p w:rsidR="00F17894" w:rsidRDefault="00F17894">
      <w:pPr>
        <w:pStyle w:val="Text"/>
        <w:rPr>
          <w:w w:val="100"/>
        </w:rPr>
      </w:pPr>
      <w:r>
        <w:rPr>
          <w:w w:val="100"/>
        </w:rPr>
        <w:t>6. Instruments filed or recorded in the office of the county clerk or county register, before the recording of the certificate of title and not filed with the registrar, will not create valid and enforceable liens or encumbrances except for judgments where the “landowner received notice of such judgment.”</w:t>
      </w:r>
      <w:r>
        <w:rPr>
          <w:w w:val="100"/>
          <w:vertAlign w:val="superscript"/>
        </w:rPr>
        <w:footnoteReference w:id="3"/>
      </w:r>
      <w:r>
        <w:rPr>
          <w:w w:val="100"/>
        </w:rPr>
        <w:t xml:space="preserve"> </w:t>
      </w:r>
    </w:p>
    <w:p w:rsidR="00F17894" w:rsidRDefault="00F17894">
      <w:pPr>
        <w:pStyle w:val="Text"/>
        <w:rPr>
          <w:w w:val="100"/>
        </w:rPr>
      </w:pPr>
      <w:r>
        <w:rPr>
          <w:w w:val="100"/>
        </w:rPr>
        <w:t>7. All instruments memorialized on the certificate of title at the time of recording remain valid and enforceable.</w:t>
      </w:r>
    </w:p>
    <w:p w:rsidR="00F17894" w:rsidRDefault="00F17894">
      <w:pPr>
        <w:pStyle w:val="Text"/>
        <w:rPr>
          <w:w w:val="100"/>
        </w:rPr>
      </w:pPr>
      <w:r>
        <w:rPr>
          <w:w w:val="100"/>
        </w:rPr>
        <w:t>8. The land title registration law continues in force as to title matters for the period of time that the title remained under the registry system.</w:t>
      </w:r>
    </w:p>
    <w:p w:rsidR="00F17894" w:rsidRDefault="00F17894">
      <w:pPr>
        <w:pStyle w:val="Text"/>
        <w:rPr>
          <w:w w:val="100"/>
        </w:rPr>
      </w:pPr>
      <w:r>
        <w:rPr>
          <w:w w:val="100"/>
        </w:rPr>
        <w:t>9. Claims based upon prescription or adverse possession, which could not be asserted against registered titles,</w:t>
      </w:r>
      <w:r>
        <w:rPr>
          <w:w w:val="100"/>
          <w:vertAlign w:val="superscript"/>
        </w:rPr>
        <w:footnoteReference w:id="4"/>
      </w:r>
      <w:r>
        <w:rPr>
          <w:w w:val="100"/>
        </w:rPr>
        <w:t xml:space="preserve"> cannot be asserted against the </w:t>
      </w:r>
      <w:r>
        <w:rPr>
          <w:i/>
          <w:iCs/>
          <w:w w:val="100"/>
        </w:rPr>
        <w:t>registered</w:t>
      </w:r>
      <w:r>
        <w:rPr>
          <w:w w:val="100"/>
        </w:rPr>
        <w:t xml:space="preserve"> owner, even after the recording of a </w:t>
      </w:r>
      <w:r>
        <w:rPr>
          <w:w w:val="100"/>
        </w:rPr>
        <w:lastRenderedPageBreak/>
        <w:t>voluntary instrument and the certificate of title, but can be asserted against a subsequent owner.</w:t>
      </w:r>
      <w:r>
        <w:rPr>
          <w:w w:val="100"/>
          <w:vertAlign w:val="superscript"/>
        </w:rPr>
        <w:footnoteReference w:id="5"/>
      </w:r>
      <w:r>
        <w:rPr>
          <w:w w:val="100"/>
        </w:rPr>
        <w:t xml:space="preserve"> The statute does not state when, for the purpose of establishing a claim, the statutory ten-year period of adverse possession is to commence, but it seems logical that it would not begin until the date of transfer of title by the registered owner.</w:t>
      </w:r>
    </w:p>
    <w:p w:rsidR="00F17894" w:rsidRDefault="00F17894">
      <w:pPr>
        <w:pStyle w:val="practiceguide"/>
        <w:rPr>
          <w:w w:val="100"/>
        </w:rPr>
      </w:pPr>
      <w:r>
        <w:rPr>
          <w:w w:val="100"/>
        </w:rPr>
        <w:t>PRACTICE GUIDE</w:t>
      </w:r>
    </w:p>
    <w:p w:rsidR="00F17894" w:rsidRDefault="00F17894">
      <w:pPr>
        <w:pStyle w:val="Text3pcRL"/>
        <w:spacing w:after="260" w:line="280" w:lineRule="atLeast"/>
        <w:rPr>
          <w:w w:val="100"/>
        </w:rPr>
      </w:pPr>
      <w:smartTag w:uri="urn:schemas-microsoft-com:office:smarttags" w:element="place">
        <w:r>
          <w:rPr>
            <w:w w:val="100"/>
          </w:rPr>
          <w:t>Suffolk</w:t>
        </w:r>
      </w:smartTag>
      <w:r>
        <w:rPr>
          <w:w w:val="100"/>
        </w:rPr>
        <w:t xml:space="preserve"> </w:t>
      </w:r>
      <w:smartTag w:uri="urn:schemas-microsoft-com:office:smarttags" w:element="place">
        <w:r>
          <w:rPr>
            <w:w w:val="100"/>
          </w:rPr>
          <w:t>County</w:t>
        </w:r>
      </w:smartTag>
      <w:r>
        <w:rPr>
          <w:w w:val="100"/>
        </w:rPr>
        <w:t xml:space="preserve"> and other areas formerly requiring </w:t>
      </w:r>
      <w:smartTag w:uri="urn:schemas-microsoft-com:office:smarttags" w:element="place">
        <w:r>
          <w:rPr>
            <w:w w:val="100"/>
          </w:rPr>
          <w:t>Torrens</w:t>
        </w:r>
      </w:smartTag>
      <w:r>
        <w:rPr>
          <w:w w:val="100"/>
        </w:rPr>
        <w:t xml:space="preserve"> title certifications are phasing out this outdated system of registering properties. The </w:t>
      </w:r>
      <w:smartTag w:uri="urn:schemas-microsoft-com:office:smarttags" w:element="place">
        <w:smartTag w:uri="urn:schemas-microsoft-com:office:smarttags" w:element="place">
          <w:r>
            <w:rPr>
              <w:w w:val="100"/>
            </w:rPr>
            <w:t>Suffolk</w:t>
          </w:r>
        </w:smartTag>
        <w:r>
          <w:rPr>
            <w:w w:val="100"/>
          </w:rPr>
          <w:t xml:space="preserve"> </w:t>
        </w:r>
        <w:smartTag w:uri="urn:schemas-microsoft-com:office:smarttags" w:element="place">
          <w:r>
            <w:rPr>
              <w:w w:val="100"/>
            </w:rPr>
            <w:t>County</w:t>
          </w:r>
        </w:smartTag>
      </w:smartTag>
      <w:r>
        <w:rPr>
          <w:w w:val="100"/>
        </w:rPr>
        <w:t xml:space="preserve"> registrar’s requirements now are limited to a simple recital in deeds saying “being and intended to be the same premises as Registered under Certificate of Title No. ___________.”</w:t>
      </w:r>
    </w:p>
    <w:p w:rsidR="00F17894" w:rsidRDefault="00F17894">
      <w:pPr>
        <w:pStyle w:val="Text3pcRL"/>
        <w:spacing w:after="260" w:line="280" w:lineRule="atLeast"/>
        <w:rPr>
          <w:w w:val="100"/>
        </w:rPr>
      </w:pPr>
      <w:r>
        <w:rPr>
          <w:w w:val="100"/>
        </w:rPr>
        <w:t xml:space="preserve">With Torrens title registration being gradually phased out, it is advisable to check with your title company or the clerk in the county in which the deed is to be recorded </w:t>
      </w:r>
      <w:r>
        <w:rPr>
          <w:w w:val="100"/>
        </w:rPr>
        <w:lastRenderedPageBreak/>
        <w:t xml:space="preserve">to ascertain up-to-date filing requirements of municipalities that are or were subject to </w:t>
      </w:r>
      <w:smartTag w:uri="urn:schemas-microsoft-com:office:smarttags" w:element="place">
        <w:r>
          <w:rPr>
            <w:w w:val="100"/>
          </w:rPr>
          <w:t>Torrens</w:t>
        </w:r>
      </w:smartTag>
      <w:r>
        <w:rPr>
          <w:w w:val="100"/>
        </w:rPr>
        <w:t xml:space="preserve"> registration.</w:t>
      </w:r>
    </w:p>
    <w:p w:rsidR="00F17894" w:rsidRDefault="00F17894" w:rsidP="00B90158">
      <w:pPr>
        <w:pStyle w:val="TextNoindent"/>
        <w:spacing w:line="280" w:lineRule="atLeast"/>
      </w:pPr>
    </w:p>
    <w:sectPr w:rsidR="00F17894" w:rsidSect="00F17894">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36" w:rsidRDefault="009A1836">
      <w:r>
        <w:separator/>
      </w:r>
    </w:p>
  </w:endnote>
  <w:endnote w:type="continuationSeparator" w:id="0">
    <w:p w:rsidR="009A1836" w:rsidRDefault="009A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36" w:rsidRDefault="009A1836">
      <w:r>
        <w:separator/>
      </w:r>
    </w:p>
  </w:footnote>
  <w:footnote w:type="continuationSeparator" w:id="0">
    <w:p w:rsidR="009A1836" w:rsidRDefault="009A1836">
      <w:r>
        <w:continuationSeparator/>
      </w:r>
    </w:p>
  </w:footnote>
  <w:footnote w:id="1">
    <w:p w:rsidR="00F17894" w:rsidRDefault="00F17894">
      <w:pPr>
        <w:pStyle w:val="Footnote"/>
        <w:widowControl w:val="0"/>
        <w:tabs>
          <w:tab w:val="clear" w:pos="300"/>
          <w:tab w:val="left" w:pos="380"/>
        </w:tabs>
        <w:spacing w:line="220" w:lineRule="atLeast"/>
        <w:ind w:left="380" w:hanging="380"/>
      </w:pPr>
      <w:r>
        <w:rPr>
          <w:vertAlign w:val="superscript"/>
        </w:rPr>
        <w:footnoteRef/>
      </w:r>
      <w:r>
        <w:rPr>
          <w:w w:val="100"/>
        </w:rPr>
        <w:tab/>
        <w:t xml:space="preserve">The </w:t>
      </w:r>
      <w:smartTag w:uri="urn:schemas-microsoft-com:office:smarttags" w:element="place">
        <w:r>
          <w:rPr>
            <w:w w:val="100"/>
          </w:rPr>
          <w:t>Torrens</w:t>
        </w:r>
      </w:smartTag>
      <w:r>
        <w:rPr>
          <w:w w:val="100"/>
        </w:rPr>
        <w:t xml:space="preserve"> system has been abolished. This appendix is in the chapter for informational purposes only.</w:t>
      </w:r>
    </w:p>
  </w:footnote>
  <w:footnote w:id="2">
    <w:p w:rsidR="00F17894" w:rsidRDefault="00F17894">
      <w:pPr>
        <w:pStyle w:val="Footnote"/>
        <w:widowControl w:val="0"/>
        <w:tabs>
          <w:tab w:val="clear" w:pos="300"/>
          <w:tab w:val="left" w:pos="380"/>
        </w:tabs>
        <w:spacing w:line="220" w:lineRule="atLeast"/>
        <w:ind w:left="380" w:hanging="380"/>
      </w:pPr>
      <w:r>
        <w:rPr>
          <w:vertAlign w:val="superscript"/>
        </w:rPr>
        <w:footnoteRef/>
      </w:r>
      <w:r>
        <w:rPr>
          <w:i/>
          <w:iCs/>
          <w:w w:val="100"/>
        </w:rPr>
        <w:tab/>
        <w:t>See</w:t>
      </w:r>
      <w:r>
        <w:rPr>
          <w:w w:val="100"/>
        </w:rPr>
        <w:t xml:space="preserve"> RPL § 436.</w:t>
      </w:r>
    </w:p>
  </w:footnote>
  <w:footnote w:id="3">
    <w:p w:rsidR="00F17894" w:rsidRDefault="00F17894">
      <w:pPr>
        <w:pStyle w:val="Footnote"/>
        <w:widowControl w:val="0"/>
        <w:tabs>
          <w:tab w:val="clear" w:pos="300"/>
          <w:tab w:val="left" w:pos="380"/>
        </w:tabs>
        <w:spacing w:line="220" w:lineRule="atLeast"/>
        <w:ind w:left="380" w:hanging="380"/>
      </w:pPr>
      <w:r>
        <w:rPr>
          <w:vertAlign w:val="superscript"/>
        </w:rPr>
        <w:footnoteRef/>
      </w:r>
      <w:r>
        <w:rPr>
          <w:w w:val="100"/>
        </w:rPr>
        <w:tab/>
      </w:r>
      <w:proofErr w:type="gramStart"/>
      <w:r>
        <w:rPr>
          <w:w w:val="100"/>
        </w:rPr>
        <w:t>RPL § 436(6).</w:t>
      </w:r>
      <w:proofErr w:type="gramEnd"/>
    </w:p>
  </w:footnote>
  <w:footnote w:id="4">
    <w:p w:rsidR="00F17894" w:rsidRDefault="00F17894">
      <w:pPr>
        <w:pStyle w:val="Footnote"/>
        <w:widowControl w:val="0"/>
        <w:tabs>
          <w:tab w:val="clear" w:pos="300"/>
          <w:tab w:val="left" w:pos="380"/>
        </w:tabs>
        <w:spacing w:line="220" w:lineRule="atLeast"/>
        <w:ind w:left="380" w:hanging="380"/>
      </w:pPr>
      <w:r>
        <w:rPr>
          <w:vertAlign w:val="superscript"/>
        </w:rPr>
        <w:footnoteRef/>
      </w:r>
      <w:r>
        <w:rPr>
          <w:i/>
          <w:iCs/>
          <w:w w:val="100"/>
        </w:rPr>
        <w:tab/>
        <w:t>See</w:t>
      </w:r>
      <w:r>
        <w:rPr>
          <w:w w:val="100"/>
        </w:rPr>
        <w:t xml:space="preserve"> RPL § 401.</w:t>
      </w:r>
    </w:p>
  </w:footnote>
  <w:footnote w:id="5">
    <w:p w:rsidR="00F17894" w:rsidRDefault="00F17894">
      <w:pPr>
        <w:pStyle w:val="Footnote"/>
        <w:widowControl w:val="0"/>
        <w:tabs>
          <w:tab w:val="clear" w:pos="300"/>
          <w:tab w:val="left" w:pos="380"/>
        </w:tabs>
        <w:spacing w:line="220" w:lineRule="atLeast"/>
        <w:ind w:left="380" w:hanging="380"/>
        <w:rPr>
          <w:w w:val="100"/>
        </w:rPr>
      </w:pPr>
      <w:r>
        <w:rPr>
          <w:vertAlign w:val="superscript"/>
        </w:rPr>
        <w:footnoteRef/>
      </w:r>
      <w:r>
        <w:rPr>
          <w:w w:val="100"/>
        </w:rPr>
        <w:tab/>
        <w:t>RPL § 436(9).</w:t>
      </w: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rPr>
          <w:w w:val="100"/>
        </w:rPr>
      </w:pPr>
    </w:p>
    <w:p w:rsidR="00F17894" w:rsidRDefault="00F17894">
      <w:pPr>
        <w:pStyle w:val="Footnote"/>
        <w:widowControl w:val="0"/>
        <w:tabs>
          <w:tab w:val="clear" w:pos="300"/>
          <w:tab w:val="left" w:pos="380"/>
        </w:tabs>
        <w:spacing w:line="220" w:lineRule="atLeast"/>
        <w:ind w:left="380" w:hanging="3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Header"/>
    </w:pPr>
    <w:r>
      <w:rPr>
        <w:noProof/>
      </w:rPr>
      <w:drawing>
        <wp:inline distT="0" distB="0" distL="0" distR="0">
          <wp:extent cx="847725" cy="847725"/>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456F30" w:rsidRDefault="00456F3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0" w:rsidRDefault="00456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3F"/>
    <w:rsid w:val="00207C43"/>
    <w:rsid w:val="00386F53"/>
    <w:rsid w:val="00456F30"/>
    <w:rsid w:val="00597E1D"/>
    <w:rsid w:val="005D28AE"/>
    <w:rsid w:val="006723AE"/>
    <w:rsid w:val="007713FA"/>
    <w:rsid w:val="00795779"/>
    <w:rsid w:val="007C5B3A"/>
    <w:rsid w:val="00823D27"/>
    <w:rsid w:val="0096403F"/>
    <w:rsid w:val="009A1836"/>
    <w:rsid w:val="00B225FC"/>
    <w:rsid w:val="00B90158"/>
    <w:rsid w:val="00F17894"/>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456F30"/>
    <w:rPr>
      <w:rFonts w:ascii="Tahoma" w:hAnsi="Tahoma" w:cs="Tahoma"/>
      <w:sz w:val="16"/>
      <w:szCs w:val="16"/>
    </w:rPr>
  </w:style>
  <w:style w:type="character" w:customStyle="1" w:styleId="BalloonTextChar">
    <w:name w:val="Balloon Text Char"/>
    <w:basedOn w:val="DefaultParagraphFont"/>
    <w:link w:val="BalloonText"/>
    <w:uiPriority w:val="99"/>
    <w:semiHidden/>
    <w:rsid w:val="00456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Heads">
    <w:name w:val="Other Heads"/>
    <w:uiPriority w:val="99"/>
    <w:pPr>
      <w:keepNext/>
      <w:tabs>
        <w:tab w:val="left" w:pos="240"/>
      </w:tabs>
      <w:autoSpaceDE w:val="0"/>
      <w:autoSpaceDN w:val="0"/>
      <w:adjustRightInd w:val="0"/>
      <w:spacing w:after="240" w:line="240" w:lineRule="atLeast"/>
    </w:pPr>
    <w:rPr>
      <w:rFonts w:ascii="Times" w:hAnsi="Times" w:cs="Times"/>
      <w:b/>
      <w:bCs/>
      <w:color w:val="000000"/>
      <w:w w:val="0"/>
      <w:sz w:val="22"/>
      <w:szCs w:val="22"/>
    </w:rPr>
  </w:style>
  <w:style w:type="paragraph" w:customStyle="1" w:styleId="ChapterNumber">
    <w:name w:val="ChapterNumber"/>
    <w:uiPriority w:val="99"/>
    <w:pPr>
      <w:autoSpaceDE w:val="0"/>
      <w:autoSpaceDN w:val="0"/>
      <w:adjustRightInd w:val="0"/>
      <w:spacing w:after="3760" w:line="320" w:lineRule="atLeast"/>
      <w:jc w:val="right"/>
    </w:pPr>
    <w:rPr>
      <w:rFonts w:ascii="Times" w:hAnsi="Times" w:cs="Times"/>
      <w:b/>
      <w:bCs/>
      <w:color w:val="000000"/>
      <w:w w:val="0"/>
      <w:sz w:val="28"/>
      <w:szCs w:val="28"/>
    </w:rPr>
  </w:style>
  <w:style w:type="paragraph" w:customStyle="1" w:styleId="Text3pcRL">
    <w:name w:val="Text 3pc R&amp;L"/>
    <w:uiPriority w:val="99"/>
    <w:pPr>
      <w:autoSpaceDE w:val="0"/>
      <w:autoSpaceDN w:val="0"/>
      <w:adjustRightInd w:val="0"/>
      <w:spacing w:after="240" w:line="260" w:lineRule="atLeast"/>
      <w:ind w:left="720" w:right="720"/>
      <w:jc w:val="both"/>
    </w:pPr>
    <w:rPr>
      <w:rFonts w:ascii="Times" w:hAnsi="Times" w:cs="Times"/>
      <w:color w:val="000000"/>
      <w:w w:val="0"/>
      <w:sz w:val="24"/>
      <w:szCs w:val="24"/>
    </w:rPr>
  </w:style>
  <w:style w:type="paragraph" w:customStyle="1" w:styleId="numtabnoindent">
    <w:name w:val="num tab no indent"/>
    <w:uiPriority w:val="99"/>
    <w:pPr>
      <w:tabs>
        <w:tab w:val="left" w:pos="480"/>
      </w:tabs>
      <w:autoSpaceDE w:val="0"/>
      <w:autoSpaceDN w:val="0"/>
      <w:adjustRightInd w:val="0"/>
      <w:spacing w:after="240" w:line="260" w:lineRule="atLeast"/>
      <w:ind w:left="480" w:right="720" w:hanging="480"/>
      <w:jc w:val="both"/>
    </w:pPr>
    <w:rPr>
      <w:rFonts w:ascii="Times" w:hAnsi="Times" w:cs="Times"/>
      <w:color w:val="000000"/>
      <w:w w:val="0"/>
      <w:sz w:val="24"/>
      <w:szCs w:val="24"/>
    </w:rPr>
  </w:style>
  <w:style w:type="paragraph" w:customStyle="1" w:styleId="Footnote">
    <w:name w:val="Footnote"/>
    <w:uiPriority w:val="99"/>
    <w:pPr>
      <w:tabs>
        <w:tab w:val="left" w:pos="300"/>
      </w:tabs>
      <w:autoSpaceDE w:val="0"/>
      <w:autoSpaceDN w:val="0"/>
      <w:adjustRightInd w:val="0"/>
      <w:spacing w:after="120" w:line="180" w:lineRule="atLeast"/>
      <w:ind w:left="300" w:hanging="300"/>
      <w:jc w:val="both"/>
    </w:pPr>
    <w:rPr>
      <w:rFonts w:ascii="Times" w:hAnsi="Times" w:cs="Times"/>
      <w:color w:val="000000"/>
      <w:w w:val="0"/>
      <w:sz w:val="18"/>
      <w:szCs w:val="18"/>
    </w:rPr>
  </w:style>
  <w:style w:type="paragraph" w:customStyle="1" w:styleId="RomanHead">
    <w:name w:val="Roman Head"/>
    <w:uiPriority w:val="99"/>
    <w:pPr>
      <w:keepNext/>
      <w:tabs>
        <w:tab w:val="left" w:pos="520"/>
      </w:tabs>
      <w:autoSpaceDE w:val="0"/>
      <w:autoSpaceDN w:val="0"/>
      <w:adjustRightInd w:val="0"/>
      <w:spacing w:after="240" w:line="300" w:lineRule="atLeast"/>
    </w:pPr>
    <w:rPr>
      <w:rFonts w:ascii="Times" w:hAnsi="Times" w:cs="Times"/>
      <w:b/>
      <w:bCs/>
      <w:color w:val="000000"/>
      <w:w w:val="0"/>
      <w:sz w:val="28"/>
      <w:szCs w:val="28"/>
    </w:rPr>
  </w:style>
  <w:style w:type="paragraph" w:customStyle="1" w:styleId="TextRomanIndentRL">
    <w:name w:val="Text Roman Indent RL"/>
    <w:uiPriority w:val="99"/>
    <w:pPr>
      <w:tabs>
        <w:tab w:val="left" w:pos="1340"/>
      </w:tabs>
      <w:autoSpaceDE w:val="0"/>
      <w:autoSpaceDN w:val="0"/>
      <w:adjustRightInd w:val="0"/>
      <w:spacing w:after="240" w:line="260" w:lineRule="atLeast"/>
      <w:ind w:left="1340" w:right="720" w:hanging="620"/>
      <w:jc w:val="both"/>
    </w:pPr>
    <w:rPr>
      <w:rFonts w:ascii="Times" w:hAnsi="Times" w:cs="Times"/>
      <w:color w:val="000000"/>
      <w:w w:val="0"/>
      <w:sz w:val="24"/>
      <w:szCs w:val="24"/>
    </w:rPr>
  </w:style>
  <w:style w:type="paragraph" w:customStyle="1" w:styleId="practiceguide">
    <w:name w:val="practice guide"/>
    <w:uiPriority w:val="99"/>
    <w:pPr>
      <w:keepNext/>
      <w:tabs>
        <w:tab w:val="left" w:pos="520"/>
      </w:tabs>
      <w:autoSpaceDE w:val="0"/>
      <w:autoSpaceDN w:val="0"/>
      <w:adjustRightInd w:val="0"/>
      <w:spacing w:after="240" w:line="300" w:lineRule="atLeast"/>
      <w:jc w:val="center"/>
    </w:pPr>
    <w:rPr>
      <w:rFonts w:ascii="Times" w:hAnsi="Times" w:cs="Times"/>
      <w:b/>
      <w:bCs/>
      <w:color w:val="000000"/>
      <w:w w:val="0"/>
      <w:sz w:val="28"/>
      <w:szCs w:val="28"/>
    </w:rPr>
  </w:style>
  <w:style w:type="paragraph" w:customStyle="1" w:styleId="TextNoindent">
    <w:name w:val="Text No indent"/>
    <w:uiPriority w:val="99"/>
    <w:pPr>
      <w:autoSpaceDE w:val="0"/>
      <w:autoSpaceDN w:val="0"/>
      <w:adjustRightInd w:val="0"/>
      <w:spacing w:after="240" w:line="260" w:lineRule="atLeast"/>
      <w:jc w:val="both"/>
    </w:pPr>
    <w:rPr>
      <w:rFonts w:ascii="Times" w:hAnsi="Times" w:cs="Times"/>
      <w:color w:val="000000"/>
      <w:w w:val="0"/>
      <w:sz w:val="24"/>
      <w:szCs w:val="24"/>
    </w:rPr>
  </w:style>
  <w:style w:type="paragraph" w:customStyle="1" w:styleId="Text">
    <w:name w:val="Text"/>
    <w:uiPriority w:val="99"/>
    <w:pPr>
      <w:autoSpaceDE w:val="0"/>
      <w:autoSpaceDN w:val="0"/>
      <w:adjustRightInd w:val="0"/>
      <w:spacing w:after="240" w:line="280" w:lineRule="atLeast"/>
      <w:ind w:firstLine="240"/>
      <w:jc w:val="both"/>
    </w:pPr>
    <w:rPr>
      <w:rFonts w:ascii="Times" w:hAnsi="Times" w:cs="Times"/>
      <w:color w:val="000000"/>
      <w:w w:val="0"/>
      <w:sz w:val="24"/>
      <w:szCs w:val="24"/>
    </w:rPr>
  </w:style>
  <w:style w:type="paragraph" w:customStyle="1" w:styleId="AlphaHead">
    <w:name w:val="Alpha Head"/>
    <w:uiPriority w:val="99"/>
    <w:pPr>
      <w:keepNext/>
      <w:tabs>
        <w:tab w:val="left" w:pos="380"/>
      </w:tabs>
      <w:autoSpaceDE w:val="0"/>
      <w:autoSpaceDN w:val="0"/>
      <w:adjustRightInd w:val="0"/>
      <w:spacing w:after="240" w:line="280" w:lineRule="atLeast"/>
    </w:pPr>
    <w:rPr>
      <w:rFonts w:ascii="Times" w:hAnsi="Times" w:cs="Times"/>
      <w:b/>
      <w:bCs/>
      <w:color w:val="000000"/>
      <w:w w:val="0"/>
      <w:sz w:val="26"/>
      <w:szCs w:val="26"/>
    </w:rPr>
  </w:style>
  <w:style w:type="paragraph" w:customStyle="1" w:styleId="NumericalHead">
    <w:name w:val="Numerical Head"/>
    <w:uiPriority w:val="99"/>
    <w:pPr>
      <w:keepNext/>
      <w:tabs>
        <w:tab w:val="left" w:pos="380"/>
      </w:tabs>
      <w:autoSpaceDE w:val="0"/>
      <w:autoSpaceDN w:val="0"/>
      <w:adjustRightInd w:val="0"/>
      <w:spacing w:after="240" w:line="260" w:lineRule="atLeast"/>
    </w:pPr>
    <w:rPr>
      <w:rFonts w:ascii="Times" w:hAnsi="Times" w:cs="Times"/>
      <w:b/>
      <w:bCs/>
      <w:color w:val="000000"/>
      <w:w w:val="0"/>
      <w:sz w:val="24"/>
      <w:szCs w:val="24"/>
    </w:rPr>
  </w:style>
  <w:style w:type="paragraph" w:customStyle="1" w:styleId="bottomfolio">
    <w:name w:val="bottom folio"/>
    <w:uiPriority w:val="99"/>
    <w:pPr>
      <w:widowControl w:val="0"/>
      <w:pBdr>
        <w:top w:val="single" w:sz="8" w:space="0" w:color="auto"/>
      </w:pBdr>
      <w:tabs>
        <w:tab w:val="right" w:pos="9600"/>
      </w:tabs>
      <w:autoSpaceDE w:val="0"/>
      <w:autoSpaceDN w:val="0"/>
      <w:adjustRightInd w:val="0"/>
      <w:spacing w:line="240" w:lineRule="atLeast"/>
    </w:pPr>
    <w:rPr>
      <w:rFonts w:ascii="Times" w:hAnsi="Times" w:cs="Times"/>
      <w:b/>
      <w:bCs/>
      <w:color w:val="000000"/>
      <w:w w:val="0"/>
      <w:sz w:val="24"/>
      <w:szCs w:val="24"/>
    </w:rPr>
  </w:style>
  <w:style w:type="paragraph" w:customStyle="1" w:styleId="Footnoteintext">
    <w:name w:val="Footnote in text"/>
    <w:uiPriority w:val="99"/>
    <w:pPr>
      <w:tabs>
        <w:tab w:val="left" w:pos="240"/>
      </w:tabs>
      <w:autoSpaceDE w:val="0"/>
      <w:autoSpaceDN w:val="0"/>
      <w:adjustRightInd w:val="0"/>
      <w:spacing w:after="120" w:line="180" w:lineRule="atLeast"/>
      <w:ind w:left="240" w:hanging="240"/>
      <w:jc w:val="both"/>
    </w:pPr>
    <w:rPr>
      <w:rFonts w:ascii="Times" w:hAnsi="Times" w:cs="Times"/>
      <w:color w:val="000000"/>
      <w:w w:val="0"/>
      <w:sz w:val="18"/>
      <w:szCs w:val="18"/>
    </w:rPr>
  </w:style>
  <w:style w:type="paragraph" w:customStyle="1" w:styleId="ChapterTitle">
    <w:name w:val="ChapterTitle"/>
    <w:uiPriority w:val="99"/>
    <w:pPr>
      <w:autoSpaceDE w:val="0"/>
      <w:autoSpaceDN w:val="0"/>
      <w:adjustRightInd w:val="0"/>
      <w:spacing w:after="1400" w:line="520" w:lineRule="atLeast"/>
      <w:jc w:val="center"/>
    </w:pPr>
    <w:rPr>
      <w:rFonts w:ascii="Times" w:hAnsi="Times" w:cs="Times"/>
      <w:b/>
      <w:bCs/>
      <w:color w:val="000000"/>
      <w:w w:val="0"/>
      <w:sz w:val="48"/>
      <w:szCs w:val="48"/>
    </w:rPr>
  </w:style>
  <w:style w:type="paragraph" w:customStyle="1" w:styleId="textnumtabnoindent">
    <w:name w:val="text num tab no indent"/>
    <w:uiPriority w:val="99"/>
    <w:pPr>
      <w:tabs>
        <w:tab w:val="left" w:pos="480"/>
      </w:tabs>
      <w:autoSpaceDE w:val="0"/>
      <w:autoSpaceDN w:val="0"/>
      <w:adjustRightInd w:val="0"/>
      <w:spacing w:after="240" w:line="260" w:lineRule="atLeast"/>
      <w:ind w:left="480" w:hanging="480"/>
      <w:jc w:val="both"/>
    </w:pPr>
    <w:rPr>
      <w:rFonts w:ascii="Times" w:hAnsi="Times" w:cs="Times"/>
      <w:color w:val="000000"/>
      <w:w w:val="0"/>
      <w:sz w:val="24"/>
      <w:szCs w:val="24"/>
    </w:rPr>
  </w:style>
  <w:style w:type="paragraph" w:customStyle="1" w:styleId="Author">
    <w:name w:val="Author"/>
    <w:uiPriority w:val="99"/>
    <w:pPr>
      <w:tabs>
        <w:tab w:val="left" w:pos="380"/>
      </w:tabs>
      <w:autoSpaceDE w:val="0"/>
      <w:autoSpaceDN w:val="0"/>
      <w:adjustRightInd w:val="0"/>
      <w:spacing w:after="4000" w:line="400" w:lineRule="atLeast"/>
      <w:jc w:val="center"/>
    </w:pPr>
    <w:rPr>
      <w:rFonts w:ascii="Times" w:hAnsi="Times" w:cs="Times"/>
      <w:b/>
      <w:bCs/>
      <w:color w:val="000000"/>
      <w:w w:val="0"/>
      <w:sz w:val="36"/>
      <w:szCs w:val="36"/>
    </w:rPr>
  </w:style>
  <w:style w:type="paragraph" w:customStyle="1" w:styleId="autonum">
    <w:name w:val="autonum"/>
    <w:uiPriority w:val="99"/>
    <w:pPr>
      <w:autoSpaceDE w:val="0"/>
      <w:autoSpaceDN w:val="0"/>
      <w:adjustRightInd w:val="0"/>
      <w:spacing w:after="240" w:line="240" w:lineRule="atLeast"/>
    </w:pPr>
    <w:rPr>
      <w:rFonts w:ascii="Times" w:hAnsi="Times" w:cs="Times"/>
      <w:color w:val="000000"/>
      <w:w w:val="0"/>
      <w:sz w:val="24"/>
      <w:szCs w:val="24"/>
    </w:rPr>
  </w:style>
  <w:style w:type="paragraph" w:customStyle="1" w:styleId="RightHeader">
    <w:name w:val="Right Header"/>
    <w:uiPriority w:val="99"/>
    <w:pPr>
      <w:widowControl w:val="0"/>
      <w:pBdr>
        <w:bottom w:val="single" w:sz="8" w:space="0" w:color="auto"/>
      </w:pBdr>
      <w:tabs>
        <w:tab w:val="right" w:pos="9720"/>
      </w:tabs>
      <w:autoSpaceDE w:val="0"/>
      <w:autoSpaceDN w:val="0"/>
      <w:adjustRightInd w:val="0"/>
      <w:spacing w:line="240" w:lineRule="atLeast"/>
      <w:jc w:val="both"/>
    </w:pPr>
    <w:rPr>
      <w:rFonts w:ascii="Times" w:hAnsi="Times" w:cs="Times"/>
      <w:b/>
      <w:bCs/>
      <w:color w:val="000000"/>
      <w:w w:val="0"/>
      <w:sz w:val="24"/>
      <w:szCs w:val="24"/>
    </w:rPr>
  </w:style>
  <w:style w:type="paragraph" w:customStyle="1" w:styleId="index">
    <w:name w:val="index"/>
    <w:uiPriority w:val="99"/>
    <w:pPr>
      <w:tabs>
        <w:tab w:val="right" w:leader="dot" w:pos="8300"/>
        <w:tab w:val="left" w:pos="8640"/>
      </w:tabs>
      <w:autoSpaceDE w:val="0"/>
      <w:autoSpaceDN w:val="0"/>
      <w:adjustRightInd w:val="0"/>
      <w:spacing w:after="120" w:line="260" w:lineRule="atLeast"/>
      <w:jc w:val="both"/>
    </w:pPr>
    <w:rPr>
      <w:rFonts w:ascii="Times" w:hAnsi="Times" w:cs="Times"/>
      <w:color w:val="000000"/>
      <w:w w:val="0"/>
      <w:sz w:val="24"/>
      <w:szCs w:val="24"/>
    </w:rPr>
  </w:style>
  <w:style w:type="paragraph" w:customStyle="1" w:styleId="AppendixTitle">
    <w:name w:val="Appendix Title"/>
    <w:uiPriority w:val="99"/>
    <w:pPr>
      <w:keepNext/>
      <w:pageBreakBefore/>
      <w:widowControl w:val="0"/>
      <w:tabs>
        <w:tab w:val="left" w:pos="300"/>
      </w:tabs>
      <w:suppressAutoHyphens/>
      <w:autoSpaceDE w:val="0"/>
      <w:autoSpaceDN w:val="0"/>
      <w:adjustRightInd w:val="0"/>
      <w:spacing w:after="240" w:line="260" w:lineRule="atLeast"/>
      <w:jc w:val="center"/>
    </w:pPr>
    <w:rPr>
      <w:rFonts w:ascii="Times" w:hAnsi="Times" w:cs="Times"/>
      <w:b/>
      <w:bCs/>
      <w:color w:val="000000"/>
      <w:w w:val="0"/>
      <w:sz w:val="24"/>
      <w:szCs w:val="24"/>
    </w:rPr>
  </w:style>
  <w:style w:type="character" w:customStyle="1" w:styleId="bold">
    <w:name w:val="bold"/>
    <w:uiPriority w:val="99"/>
    <w:rPr>
      <w:rFonts w:ascii="Times" w:hAnsi="Times"/>
      <w:b/>
      <w:color w:val="000000"/>
      <w:spacing w:val="0"/>
      <w:sz w:val="24"/>
      <w:vertAlign w:val="baseline"/>
    </w:rPr>
  </w:style>
  <w:style w:type="character" w:customStyle="1" w:styleId="Superscript">
    <w:name w:val="Superscript"/>
    <w:uiPriority w:val="99"/>
    <w:rPr>
      <w:vertAlign w:val="superscript"/>
    </w:rPr>
  </w:style>
  <w:style w:type="character" w:styleId="Emphasis">
    <w:name w:val="Emphasis"/>
    <w:basedOn w:val="DefaultParagraphFont"/>
    <w:uiPriority w:val="99"/>
    <w:qFormat/>
    <w:rPr>
      <w:rFonts w:cs="Times New Roman"/>
      <w:i/>
      <w:iCs/>
    </w:rPr>
  </w:style>
  <w:style w:type="character" w:customStyle="1" w:styleId="Subscript">
    <w:name w:val="Subscript"/>
    <w:uiPriority w:val="99"/>
    <w:rPr>
      <w:vertAlign w:val="subscript"/>
    </w:rPr>
  </w:style>
  <w:style w:type="character" w:customStyle="1" w:styleId="EquationVariables">
    <w:name w:val="EquationVariables"/>
    <w:uiPriority w:val="99"/>
    <w:rPr>
      <w:i/>
    </w:rPr>
  </w:style>
  <w:style w:type="paragraph" w:styleId="Header">
    <w:name w:val="header"/>
    <w:basedOn w:val="Normal"/>
    <w:link w:val="HeaderChar"/>
    <w:uiPriority w:val="99"/>
    <w:rsid w:val="009640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640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456F30"/>
    <w:rPr>
      <w:rFonts w:ascii="Tahoma" w:hAnsi="Tahoma" w:cs="Tahoma"/>
      <w:sz w:val="16"/>
      <w:szCs w:val="16"/>
    </w:rPr>
  </w:style>
  <w:style w:type="character" w:customStyle="1" w:styleId="BalloonTextChar">
    <w:name w:val="Balloon Text Char"/>
    <w:basedOn w:val="DefaultParagraphFont"/>
    <w:link w:val="BalloonText"/>
    <w:uiPriority w:val="99"/>
    <w:semiHidden/>
    <w:rsid w:val="00456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Broker’s Offer Memorandum—Fact Sheet</vt:lpstr>
    </vt:vector>
  </TitlesOfParts>
  <Company>Hewlett-Packard Company</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Broker’s Offer Memorandum—Fact Sheet</dc:title>
  <dc:creator>New York State</dc:creator>
  <cp:lastModifiedBy>Kate Hurd</cp:lastModifiedBy>
  <cp:revision>2</cp:revision>
  <dcterms:created xsi:type="dcterms:W3CDTF">2018-04-30T17:55:00Z</dcterms:created>
  <dcterms:modified xsi:type="dcterms:W3CDTF">2018-04-30T17:55:00Z</dcterms:modified>
</cp:coreProperties>
</file>