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D6" w:rsidRDefault="00E059D6">
      <w:pPr>
        <w:pStyle w:val="AppendixTitle"/>
        <w:rPr>
          <w:w w:val="100"/>
        </w:rPr>
      </w:pPr>
      <w:r>
        <w:rPr>
          <w:w w:val="100"/>
        </w:rPr>
        <w:t>Estimate of Closing Costs—Seller</w:t>
      </w:r>
    </w:p>
    <w:p w:rsidR="00E059D6" w:rsidRDefault="00E059D6">
      <w:pPr>
        <w:pStyle w:val="TextNoindent"/>
        <w:tabs>
          <w:tab w:val="right" w:pos="9000"/>
        </w:tabs>
        <w:spacing w:line="280" w:lineRule="atLeast"/>
        <w:rPr>
          <w:w w:val="100"/>
        </w:rPr>
      </w:pPr>
      <w:r>
        <w:rPr>
          <w:w w:val="100"/>
        </w:rPr>
        <w:t>Broker’s commission @ 6% of $415,000</w:t>
      </w:r>
      <w:r>
        <w:rPr>
          <w:w w:val="100"/>
        </w:rPr>
        <w:br/>
        <w:t>sales price</w:t>
      </w:r>
      <w:r>
        <w:rPr>
          <w:w w:val="100"/>
        </w:rPr>
        <w:tab/>
      </w:r>
      <w:r>
        <w:rPr>
          <w:w w:val="100"/>
        </w:rPr>
        <w:tab/>
        <w:t>$24,900.00</w:t>
      </w:r>
    </w:p>
    <w:p w:rsidR="00E059D6" w:rsidRDefault="00E059D6">
      <w:pPr>
        <w:pStyle w:val="TextNoindent"/>
        <w:tabs>
          <w:tab w:val="right" w:pos="9000"/>
        </w:tabs>
        <w:spacing w:line="280" w:lineRule="atLeast"/>
        <w:rPr>
          <w:w w:val="100"/>
        </w:rPr>
      </w:pPr>
      <w:smartTag w:uri="urn:schemas-microsoft-com:office:smarttags" w:element="PlaceName">
        <w:smartTag w:uri="urn:schemas-microsoft-com:office:smarttags" w:element="place">
          <w:r>
            <w:rPr>
              <w:w w:val="100"/>
            </w:rPr>
            <w:t>New York</w:t>
          </w:r>
        </w:smartTag>
        <w:r>
          <w:rPr>
            <w:w w:val="100"/>
          </w:rPr>
          <w:t xml:space="preserve"> </w:t>
        </w:r>
        <w:smartTag w:uri="urn:schemas-microsoft-com:office:smarttags" w:element="PlaceType">
          <w:r>
            <w:rPr>
              <w:w w:val="100"/>
            </w:rPr>
            <w:t>State</w:t>
          </w:r>
        </w:smartTag>
      </w:smartTag>
      <w:r>
        <w:rPr>
          <w:w w:val="100"/>
        </w:rPr>
        <w:t xml:space="preserve"> transfer tax @ $4 </w:t>
      </w:r>
      <w:r>
        <w:rPr>
          <w:w w:val="100"/>
        </w:rPr>
        <w:br/>
        <w:t>per $1000 selling price (payment</w:t>
      </w:r>
      <w:r>
        <w:rPr>
          <w:w w:val="100"/>
        </w:rPr>
        <w:br/>
        <w:t>reflected by affixation of</w:t>
      </w:r>
      <w:r>
        <w:rPr>
          <w:w w:val="100"/>
        </w:rPr>
        <w:br/>
        <w:t>documentary stamps to deed)</w:t>
      </w:r>
      <w:r>
        <w:rPr>
          <w:w w:val="100"/>
        </w:rPr>
        <w:tab/>
      </w:r>
      <w:r>
        <w:rPr>
          <w:w w:val="100"/>
        </w:rPr>
        <w:tab/>
        <w:t>1,660.00</w:t>
      </w:r>
    </w:p>
    <w:p w:rsidR="00E059D6" w:rsidRDefault="00E059D6">
      <w:pPr>
        <w:pStyle w:val="TextNoindent"/>
        <w:tabs>
          <w:tab w:val="right" w:pos="9000"/>
        </w:tabs>
        <w:spacing w:line="280" w:lineRule="atLeast"/>
        <w:rPr>
          <w:w w:val="100"/>
        </w:rPr>
      </w:pPr>
      <w:r>
        <w:rPr>
          <w:w w:val="100"/>
        </w:rPr>
        <w:t>New York City transfer tax if property</w:t>
      </w:r>
      <w:r>
        <w:rPr>
          <w:w w:val="100"/>
          <w:vertAlign w:val="superscript"/>
        </w:rPr>
        <w:footnoteReference w:id="1"/>
      </w:r>
      <w:r>
        <w:rPr>
          <w:w w:val="100"/>
        </w:rPr>
        <w:br/>
        <w:t>located in NYC @ 1% (when consideration</w:t>
      </w:r>
      <w:r>
        <w:rPr>
          <w:w w:val="100"/>
        </w:rPr>
        <w:br/>
        <w:t>is $500,000 or less, 1.425% when consideration</w:t>
      </w:r>
      <w:r>
        <w:rPr>
          <w:w w:val="100"/>
        </w:rPr>
        <w:br/>
        <w:t>is greater than $500,000) of selling price</w:t>
      </w:r>
      <w:r>
        <w:rPr>
          <w:w w:val="100"/>
        </w:rPr>
        <w:br/>
        <w:t>(Note: RPT Transfer Tax Return,</w:t>
      </w:r>
      <w:r>
        <w:rPr>
          <w:w w:val="100"/>
        </w:rPr>
        <w:br/>
        <w:t>signed by grantor and grantee, must be</w:t>
      </w:r>
      <w:r>
        <w:rPr>
          <w:w w:val="100"/>
        </w:rPr>
        <w:br/>
        <w:t>submitted to closer with certified</w:t>
      </w:r>
      <w:r>
        <w:rPr>
          <w:w w:val="100"/>
        </w:rPr>
        <w:br/>
        <w:t>check or money order payable to</w:t>
      </w:r>
      <w:r>
        <w:rPr>
          <w:w w:val="100"/>
        </w:rPr>
        <w:br/>
        <w:t>Commissioner of Finance at time of</w:t>
      </w:r>
      <w:r>
        <w:rPr>
          <w:w w:val="100"/>
        </w:rPr>
        <w:br/>
        <w:t>recording of deed)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4,150.00</w:t>
      </w:r>
    </w:p>
    <w:p w:rsidR="00E059D6" w:rsidRDefault="00E059D6">
      <w:pPr>
        <w:pStyle w:val="TextNoindent"/>
        <w:tabs>
          <w:tab w:val="right" w:pos="9000"/>
        </w:tabs>
        <w:spacing w:line="280" w:lineRule="atLeast"/>
        <w:rPr>
          <w:w w:val="100"/>
        </w:rPr>
      </w:pPr>
      <w:r>
        <w:rPr>
          <w:w w:val="100"/>
        </w:rPr>
        <w:t>Yonkers transfer tax if property</w:t>
      </w:r>
      <w:r>
        <w:rPr>
          <w:w w:val="100"/>
        </w:rPr>
        <w:br/>
        <w:t>located in Yonkers @ 1.4% of selling price</w:t>
      </w:r>
      <w:r>
        <w:rPr>
          <w:w w:val="100"/>
        </w:rPr>
        <w:br/>
        <w:t>(Note: City of Yonkers Real</w:t>
      </w:r>
      <w:r>
        <w:rPr>
          <w:w w:val="100"/>
        </w:rPr>
        <w:br/>
        <w:t>Property Tax Return, signed by grantor</w:t>
      </w:r>
      <w:r>
        <w:rPr>
          <w:w w:val="100"/>
        </w:rPr>
        <w:br/>
        <w:t>and grantee, must be submitted to closer</w:t>
      </w:r>
      <w:r>
        <w:rPr>
          <w:w w:val="100"/>
        </w:rPr>
        <w:br/>
        <w:t>with certified check to City of Yonkers</w:t>
      </w:r>
      <w:r>
        <w:rPr>
          <w:w w:val="100"/>
        </w:rPr>
        <w:br/>
        <w:t>payable at time of recording of deed.</w:t>
      </w:r>
      <w:r>
        <w:rPr>
          <w:w w:val="100"/>
        </w:rPr>
        <w:tab/>
      </w:r>
      <w:r>
        <w:rPr>
          <w:w w:val="100"/>
        </w:rPr>
        <w:tab/>
        <w:t>11,412.50</w:t>
      </w:r>
    </w:p>
    <w:p w:rsidR="00E059D6" w:rsidRDefault="00E059D6">
      <w:pPr>
        <w:pStyle w:val="TextNoindent"/>
        <w:tabs>
          <w:tab w:val="right" w:pos="9000"/>
        </w:tabs>
        <w:spacing w:line="280" w:lineRule="atLeast"/>
        <w:rPr>
          <w:w w:val="100"/>
        </w:rPr>
      </w:pPr>
      <w:r>
        <w:rPr>
          <w:w w:val="100"/>
        </w:rPr>
        <w:t>Recording of Satisfaction of Mortgage</w:t>
      </w:r>
      <w:r>
        <w:rPr>
          <w:w w:val="100"/>
        </w:rPr>
        <w:tab/>
      </w:r>
      <w:r>
        <w:rPr>
          <w:w w:val="100"/>
        </w:rPr>
        <w:tab/>
        <w:t>25.00</w:t>
      </w:r>
    </w:p>
    <w:p w:rsidR="00E059D6" w:rsidRDefault="00E059D6">
      <w:pPr>
        <w:pStyle w:val="TextNoindent"/>
        <w:tabs>
          <w:tab w:val="right" w:pos="9000"/>
        </w:tabs>
        <w:spacing w:line="280" w:lineRule="atLeast"/>
        <w:rPr>
          <w:w w:val="100"/>
        </w:rPr>
      </w:pPr>
      <w:r>
        <w:rPr>
          <w:w w:val="100"/>
        </w:rPr>
        <w:t>Mortgage payoff with five days’ per diem interest</w:t>
      </w:r>
      <w:r>
        <w:rPr>
          <w:w w:val="100"/>
        </w:rPr>
        <w:br/>
        <w:t>beyond closing (if interest is higher, closer</w:t>
      </w:r>
      <w:r>
        <w:rPr>
          <w:w w:val="100"/>
        </w:rPr>
        <w:br/>
        <w:t>should be asked to pick up cost to express</w:t>
      </w:r>
      <w:r>
        <w:rPr>
          <w:w w:val="100"/>
        </w:rPr>
        <w:br/>
        <w:t>mail payoff and collect only one day of per diem</w:t>
      </w:r>
      <w:r>
        <w:rPr>
          <w:w w:val="100"/>
        </w:rPr>
        <w:br/>
      </w:r>
      <w:r>
        <w:rPr>
          <w:w w:val="100"/>
        </w:rPr>
        <w:lastRenderedPageBreak/>
        <w:t>interest. Where convenient, closer can be asked</w:t>
      </w:r>
      <w:r>
        <w:rPr>
          <w:w w:val="100"/>
        </w:rPr>
        <w:br/>
        <w:t>to make a same-day personal delivery to local</w:t>
      </w:r>
      <w:r>
        <w:rPr>
          <w:w w:val="100"/>
        </w:rPr>
        <w:br/>
        <w:t>branch of bank)</w:t>
      </w:r>
      <w:r>
        <w:rPr>
          <w:w w:val="100"/>
        </w:rPr>
        <w:tab/>
      </w:r>
      <w:r>
        <w:rPr>
          <w:w w:val="100"/>
        </w:rPr>
        <w:tab/>
        <w:t>126,004.85</w:t>
      </w:r>
    </w:p>
    <w:p w:rsidR="00E059D6" w:rsidRDefault="00E059D6">
      <w:pPr>
        <w:pStyle w:val="TextNoindent"/>
        <w:tabs>
          <w:tab w:val="right" w:pos="9000"/>
        </w:tabs>
        <w:spacing w:line="280" w:lineRule="atLeast"/>
        <w:rPr>
          <w:w w:val="100"/>
        </w:rPr>
      </w:pPr>
      <w:r>
        <w:rPr>
          <w:w w:val="100"/>
        </w:rPr>
        <w:t>Fee to bank’s attorney for preparing Satisfaction</w:t>
      </w:r>
      <w:r>
        <w:rPr>
          <w:w w:val="100"/>
        </w:rPr>
        <w:br/>
        <w:t>of Mortgage</w:t>
      </w:r>
      <w:r>
        <w:rPr>
          <w:w w:val="100"/>
        </w:rPr>
        <w:tab/>
      </w:r>
      <w:r>
        <w:rPr>
          <w:w w:val="100"/>
        </w:rPr>
        <w:tab/>
        <w:t>55.00</w:t>
      </w:r>
    </w:p>
    <w:p w:rsidR="00E059D6" w:rsidRDefault="00E059D6">
      <w:pPr>
        <w:pStyle w:val="TextNoindent"/>
        <w:tabs>
          <w:tab w:val="right" w:pos="9000"/>
        </w:tabs>
        <w:spacing w:line="280" w:lineRule="atLeast"/>
        <w:rPr>
          <w:w w:val="100"/>
        </w:rPr>
      </w:pPr>
      <w:r>
        <w:rPr>
          <w:w w:val="100"/>
        </w:rPr>
        <w:t>Service charge of title closer for being responsible</w:t>
      </w:r>
      <w:r>
        <w:rPr>
          <w:w w:val="100"/>
        </w:rPr>
        <w:br/>
        <w:t>for mortgage payoff</w:t>
      </w:r>
      <w:r>
        <w:rPr>
          <w:w w:val="100"/>
        </w:rPr>
        <w:tab/>
      </w:r>
      <w:r>
        <w:rPr>
          <w:w w:val="100"/>
        </w:rPr>
        <w:tab/>
        <w:t>100.00</w:t>
      </w:r>
    </w:p>
    <w:p w:rsidR="00E059D6" w:rsidRDefault="00E059D6">
      <w:pPr>
        <w:pStyle w:val="TextNoindent"/>
        <w:tabs>
          <w:tab w:val="right" w:pos="9000"/>
        </w:tabs>
        <w:spacing w:line="280" w:lineRule="atLeast"/>
        <w:rPr>
          <w:w w:val="100"/>
        </w:rPr>
      </w:pPr>
      <w:r>
        <w:rPr>
          <w:w w:val="100"/>
        </w:rPr>
        <w:t>Reimbursement to buyer for real estate tax adjustments</w:t>
      </w:r>
      <w:r>
        <w:rPr>
          <w:w w:val="100"/>
        </w:rPr>
        <w:tab/>
      </w:r>
      <w:r>
        <w:rPr>
          <w:w w:val="100"/>
        </w:rPr>
        <w:tab/>
        <w:t>363.00</w:t>
      </w:r>
    </w:p>
    <w:p w:rsidR="00E059D6" w:rsidRDefault="00E059D6">
      <w:pPr>
        <w:pStyle w:val="TextNoindent"/>
        <w:tabs>
          <w:tab w:val="right" w:pos="9000"/>
        </w:tabs>
        <w:spacing w:line="280" w:lineRule="atLeast"/>
        <w:rPr>
          <w:w w:val="100"/>
        </w:rPr>
      </w:pPr>
      <w:r>
        <w:rPr>
          <w:w w:val="100"/>
        </w:rPr>
        <w:t>Moving expenses</w:t>
      </w:r>
      <w:r>
        <w:rPr>
          <w:w w:val="100"/>
        </w:rPr>
        <w:tab/>
      </w:r>
      <w:r>
        <w:rPr>
          <w:w w:val="100"/>
        </w:rPr>
        <w:tab/>
        <w:t>1,000.00</w:t>
      </w:r>
    </w:p>
    <w:p w:rsidR="00E059D6" w:rsidRDefault="00E059D6">
      <w:pPr>
        <w:pStyle w:val="TextNoindent"/>
        <w:tabs>
          <w:tab w:val="right" w:pos="9000"/>
        </w:tabs>
        <w:spacing w:line="280" w:lineRule="atLeast"/>
        <w:rPr>
          <w:w w:val="100"/>
          <w:u w:val="thick"/>
        </w:rPr>
      </w:pPr>
      <w:r>
        <w:rPr>
          <w:w w:val="100"/>
        </w:rPr>
        <w:t>Seller’s attorney’s fee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  <w:u w:val="thick"/>
        </w:rPr>
        <w:t>3,000.00</w:t>
      </w:r>
    </w:p>
    <w:p w:rsidR="00E059D6" w:rsidRDefault="00E059D6">
      <w:pPr>
        <w:pStyle w:val="TextNoindent"/>
        <w:tabs>
          <w:tab w:val="right" w:pos="9000"/>
        </w:tabs>
        <w:spacing w:line="280" w:lineRule="atLeast"/>
        <w:rPr>
          <w:w w:val="100"/>
        </w:rPr>
      </w:pPr>
      <w:r>
        <w:rPr>
          <w:w w:val="100"/>
        </w:rPr>
        <w:t>Total estimated seller’s closing costs</w:t>
      </w:r>
      <w:r>
        <w:rPr>
          <w:w w:val="100"/>
        </w:rPr>
        <w:tab/>
      </w:r>
      <w:r>
        <w:rPr>
          <w:w w:val="100"/>
        </w:rPr>
        <w:tab/>
        <w:t>$35,255.00</w:t>
      </w:r>
    </w:p>
    <w:p w:rsidR="00E059D6" w:rsidRDefault="00E059D6">
      <w:pPr>
        <w:pStyle w:val="TextNoindent"/>
        <w:tabs>
          <w:tab w:val="right" w:pos="9000"/>
        </w:tabs>
        <w:spacing w:line="280" w:lineRule="atLeast"/>
        <w:rPr>
          <w:w w:val="100"/>
        </w:rPr>
      </w:pPr>
      <w:r>
        <w:rPr>
          <w:w w:val="100"/>
        </w:rPr>
        <w:tab/>
        <w:t>plus the amount of the</w:t>
      </w:r>
      <w:r>
        <w:rPr>
          <w:w w:val="100"/>
        </w:rPr>
        <w:br/>
      </w:r>
      <w:r>
        <w:rPr>
          <w:w w:val="100"/>
        </w:rPr>
        <w:tab/>
        <w:t>mortgage payoff.</w:t>
      </w:r>
    </w:p>
    <w:p w:rsidR="00E059D6" w:rsidRDefault="00E059D6">
      <w:pPr>
        <w:pStyle w:val="OtherHeads"/>
        <w:keepNext w:val="0"/>
        <w:widowControl w:val="0"/>
        <w:tabs>
          <w:tab w:val="clear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40" w:lineRule="auto"/>
        <w:jc w:val="center"/>
        <w:rPr>
          <w:caps/>
          <w:w w:val="100"/>
          <w:sz w:val="24"/>
          <w:szCs w:val="24"/>
        </w:rPr>
      </w:pPr>
    </w:p>
    <w:p w:rsidR="00E059D6" w:rsidRDefault="00E059D6">
      <w:pPr>
        <w:pStyle w:val="TextNoindent"/>
        <w:spacing w:line="280" w:lineRule="atLeast"/>
        <w:ind w:left="340"/>
      </w:pPr>
    </w:p>
    <w:sectPr w:rsidR="00E059D6" w:rsidSect="00E05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D3" w:rsidRDefault="007A28D3">
      <w:r>
        <w:separator/>
      </w:r>
    </w:p>
  </w:endnote>
  <w:endnote w:type="continuationSeparator" w:id="0">
    <w:p w:rsidR="007A28D3" w:rsidRDefault="007A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79" w:rsidRDefault="00261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79" w:rsidRDefault="00261B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79" w:rsidRDefault="00261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D3" w:rsidRDefault="007A28D3">
      <w:r>
        <w:separator/>
      </w:r>
    </w:p>
  </w:footnote>
  <w:footnote w:type="continuationSeparator" w:id="0">
    <w:p w:rsidR="007A28D3" w:rsidRDefault="007A28D3">
      <w:r>
        <w:continuationSeparator/>
      </w:r>
    </w:p>
  </w:footnote>
  <w:footnote w:id="1">
    <w:p w:rsidR="00E059D6" w:rsidRDefault="00E059D6">
      <w:pPr>
        <w:pStyle w:val="Footnote"/>
        <w:widowControl w:val="0"/>
        <w:tabs>
          <w:tab w:val="clear" w:pos="300"/>
          <w:tab w:val="left" w:pos="380"/>
        </w:tabs>
        <w:spacing w:line="220" w:lineRule="atLeast"/>
        <w:ind w:left="380" w:hanging="380"/>
      </w:pPr>
      <w:r>
        <w:rPr>
          <w:vertAlign w:val="superscript"/>
        </w:rPr>
        <w:footnoteRef/>
      </w:r>
      <w:r>
        <w:rPr>
          <w:w w:val="100"/>
        </w:rPr>
        <w:t xml:space="preserve"> 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One-, two-, or three-family house, individual residential condominium or individual cooperative apartment. All other properties are taxed at the rate of 1.425% where the consideration is $500,000 or less and at the rate of 2.625% if the consideration is greater than $500,000.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79" w:rsidRDefault="00261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79" w:rsidRDefault="00261B79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B79" w:rsidRDefault="00261B7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79" w:rsidRDefault="00261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3F"/>
    <w:rsid w:val="00261B79"/>
    <w:rsid w:val="003102E7"/>
    <w:rsid w:val="00386F53"/>
    <w:rsid w:val="00597E1D"/>
    <w:rsid w:val="005D28AE"/>
    <w:rsid w:val="007713FA"/>
    <w:rsid w:val="00795779"/>
    <w:rsid w:val="007A28D3"/>
    <w:rsid w:val="007C5B3A"/>
    <w:rsid w:val="00823D27"/>
    <w:rsid w:val="0096403F"/>
    <w:rsid w:val="00C95617"/>
    <w:rsid w:val="00E059D6"/>
    <w:rsid w:val="00F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Heads">
    <w:name w:val="Other Heads"/>
    <w:uiPriority w:val="99"/>
    <w:pPr>
      <w:keepNext/>
      <w:tabs>
        <w:tab w:val="left" w:pos="240"/>
      </w:tabs>
      <w:autoSpaceDE w:val="0"/>
      <w:autoSpaceDN w:val="0"/>
      <w:adjustRightInd w:val="0"/>
      <w:spacing w:after="240" w:line="240" w:lineRule="atLeast"/>
    </w:pPr>
    <w:rPr>
      <w:rFonts w:ascii="Times" w:hAnsi="Times" w:cs="Times"/>
      <w:b/>
      <w:bCs/>
      <w:color w:val="000000"/>
      <w:w w:val="0"/>
      <w:sz w:val="22"/>
      <w:szCs w:val="22"/>
    </w:rPr>
  </w:style>
  <w:style w:type="paragraph" w:customStyle="1" w:styleId="ChapterNumber">
    <w:name w:val="ChapterNumber"/>
    <w:uiPriority w:val="99"/>
    <w:pPr>
      <w:autoSpaceDE w:val="0"/>
      <w:autoSpaceDN w:val="0"/>
      <w:adjustRightInd w:val="0"/>
      <w:spacing w:after="3760" w:line="320" w:lineRule="atLeast"/>
      <w:jc w:val="righ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3pcRL">
    <w:name w:val="Text 3pc R&amp;L"/>
    <w:uiPriority w:val="99"/>
    <w:pPr>
      <w:autoSpaceDE w:val="0"/>
      <w:autoSpaceDN w:val="0"/>
      <w:adjustRightInd w:val="0"/>
      <w:spacing w:after="240" w:line="260" w:lineRule="atLeast"/>
      <w:ind w:left="720" w:right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numtabnoindent">
    <w:name w:val="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right="72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Footnote">
    <w:name w:val="Footnote"/>
    <w:uiPriority w:val="99"/>
    <w:pPr>
      <w:tabs>
        <w:tab w:val="left" w:pos="300"/>
      </w:tabs>
      <w:autoSpaceDE w:val="0"/>
      <w:autoSpaceDN w:val="0"/>
      <w:adjustRightInd w:val="0"/>
      <w:spacing w:after="120" w:line="180" w:lineRule="atLeast"/>
      <w:ind w:left="300" w:hanging="30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RomanHead">
    <w:name w:val="Roman Head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RomanIndentRL">
    <w:name w:val="Text Roman Indent RL"/>
    <w:uiPriority w:val="99"/>
    <w:pPr>
      <w:tabs>
        <w:tab w:val="left" w:pos="1340"/>
      </w:tabs>
      <w:autoSpaceDE w:val="0"/>
      <w:autoSpaceDN w:val="0"/>
      <w:adjustRightInd w:val="0"/>
      <w:spacing w:after="240" w:line="260" w:lineRule="atLeast"/>
      <w:ind w:left="1340" w:right="720" w:hanging="6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acticeguide">
    <w:name w:val="practice guide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Noindent">
    <w:name w:val="Text No indent"/>
    <w:uiPriority w:val="99"/>
    <w:pPr>
      <w:autoSpaceDE w:val="0"/>
      <w:autoSpaceDN w:val="0"/>
      <w:adjustRightInd w:val="0"/>
      <w:spacing w:after="24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240" w:line="280" w:lineRule="atLeast"/>
      <w:ind w:firstLine="24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lphaHead">
    <w:name w:val="Alpha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80" w:lineRule="atLeast"/>
    </w:pPr>
    <w:rPr>
      <w:rFonts w:ascii="Times" w:hAnsi="Times" w:cs="Times"/>
      <w:b/>
      <w:bCs/>
      <w:color w:val="000000"/>
      <w:w w:val="0"/>
      <w:sz w:val="26"/>
      <w:szCs w:val="26"/>
    </w:rPr>
  </w:style>
  <w:style w:type="paragraph" w:customStyle="1" w:styleId="NumericalHead">
    <w:name w:val="Numerical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6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bottomfolio">
    <w:name w:val="bottom folio"/>
    <w:uiPriority w:val="99"/>
    <w:pPr>
      <w:widowControl w:val="0"/>
      <w:pBdr>
        <w:top w:val="single" w:sz="8" w:space="0" w:color="auto"/>
      </w:pBdr>
      <w:tabs>
        <w:tab w:val="right" w:pos="9600"/>
      </w:tabs>
      <w:autoSpaceDE w:val="0"/>
      <w:autoSpaceDN w:val="0"/>
      <w:adjustRightInd w:val="0"/>
      <w:spacing w:line="24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Footnoteintext">
    <w:name w:val="Footnote in text"/>
    <w:uiPriority w:val="99"/>
    <w:pPr>
      <w:tabs>
        <w:tab w:val="left" w:pos="240"/>
      </w:tabs>
      <w:autoSpaceDE w:val="0"/>
      <w:autoSpaceDN w:val="0"/>
      <w:adjustRightInd w:val="0"/>
      <w:spacing w:after="120" w:line="180" w:lineRule="atLeast"/>
      <w:ind w:left="240" w:hanging="24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ChapterTitle">
    <w:name w:val="ChapterTitle"/>
    <w:uiPriority w:val="99"/>
    <w:pPr>
      <w:autoSpaceDE w:val="0"/>
      <w:autoSpaceDN w:val="0"/>
      <w:adjustRightInd w:val="0"/>
      <w:spacing w:after="1400" w:line="520" w:lineRule="atLeast"/>
      <w:jc w:val="center"/>
    </w:pPr>
    <w:rPr>
      <w:rFonts w:ascii="Times" w:hAnsi="Times" w:cs="Times"/>
      <w:b/>
      <w:bCs/>
      <w:color w:val="000000"/>
      <w:w w:val="0"/>
      <w:sz w:val="48"/>
      <w:szCs w:val="48"/>
    </w:rPr>
  </w:style>
  <w:style w:type="paragraph" w:customStyle="1" w:styleId="textnumtabnoindent">
    <w:name w:val="text 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uthor">
    <w:name w:val="Author"/>
    <w:uiPriority w:val="99"/>
    <w:pPr>
      <w:tabs>
        <w:tab w:val="left" w:pos="380"/>
      </w:tabs>
      <w:autoSpaceDE w:val="0"/>
      <w:autoSpaceDN w:val="0"/>
      <w:adjustRightInd w:val="0"/>
      <w:spacing w:after="4000" w:line="40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onum">
    <w:name w:val="autonum"/>
    <w:uiPriority w:val="99"/>
    <w:pPr>
      <w:autoSpaceDE w:val="0"/>
      <w:autoSpaceDN w:val="0"/>
      <w:adjustRightInd w:val="0"/>
      <w:spacing w:after="240" w:line="240" w:lineRule="atLeas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ightHeader">
    <w:name w:val="Right Header"/>
    <w:uiPriority w:val="99"/>
    <w:pPr>
      <w:widowControl w:val="0"/>
      <w:pBdr>
        <w:bottom w:val="single" w:sz="8" w:space="0" w:color="auto"/>
      </w:pBdr>
      <w:tabs>
        <w:tab w:val="right" w:pos="9720"/>
      </w:tabs>
      <w:autoSpaceDE w:val="0"/>
      <w:autoSpaceDN w:val="0"/>
      <w:adjustRightInd w:val="0"/>
      <w:spacing w:line="240" w:lineRule="atLeast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index">
    <w:name w:val="index"/>
    <w:uiPriority w:val="99"/>
    <w:pPr>
      <w:tabs>
        <w:tab w:val="right" w:leader="dot" w:pos="8300"/>
        <w:tab w:val="left" w:pos="8640"/>
      </w:tabs>
      <w:autoSpaceDE w:val="0"/>
      <w:autoSpaceDN w:val="0"/>
      <w:adjustRightInd w:val="0"/>
      <w:spacing w:after="12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ppendixTitle">
    <w:name w:val="Appendix Title"/>
    <w:uiPriority w:val="99"/>
    <w:pPr>
      <w:keepNext/>
      <w:pageBreakBefore/>
      <w:widowControl w:val="0"/>
      <w:tabs>
        <w:tab w:val="left" w:pos="300"/>
      </w:tabs>
      <w:suppressAutoHyphens/>
      <w:autoSpaceDE w:val="0"/>
      <w:autoSpaceDN w:val="0"/>
      <w:adjustRightInd w:val="0"/>
      <w:spacing w:after="240" w:line="26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character" w:customStyle="1" w:styleId="bold">
    <w:name w:val="bold"/>
    <w:uiPriority w:val="99"/>
    <w:rPr>
      <w:rFonts w:ascii="Times" w:hAnsi="Times"/>
      <w:b/>
      <w:color w:val="000000"/>
      <w:spacing w:val="0"/>
      <w:sz w:val="24"/>
      <w:vertAlign w:val="baseline"/>
    </w:rPr>
  </w:style>
  <w:style w:type="character" w:customStyle="1" w:styleId="Superscript">
    <w:name w:val="Superscript"/>
    <w:uiPriority w:val="99"/>
    <w:rPr>
      <w:vertAlign w:val="superscript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EquationVariables">
    <w:name w:val="EquationVariables"/>
    <w:uiPriority w:val="99"/>
    <w:rPr>
      <w:i/>
    </w:rPr>
  </w:style>
  <w:style w:type="paragraph" w:styleId="Header">
    <w:name w:val="header"/>
    <w:basedOn w:val="Normal"/>
    <w:link w:val="Head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Heads">
    <w:name w:val="Other Heads"/>
    <w:uiPriority w:val="99"/>
    <w:pPr>
      <w:keepNext/>
      <w:tabs>
        <w:tab w:val="left" w:pos="240"/>
      </w:tabs>
      <w:autoSpaceDE w:val="0"/>
      <w:autoSpaceDN w:val="0"/>
      <w:adjustRightInd w:val="0"/>
      <w:spacing w:after="240" w:line="240" w:lineRule="atLeast"/>
    </w:pPr>
    <w:rPr>
      <w:rFonts w:ascii="Times" w:hAnsi="Times" w:cs="Times"/>
      <w:b/>
      <w:bCs/>
      <w:color w:val="000000"/>
      <w:w w:val="0"/>
      <w:sz w:val="22"/>
      <w:szCs w:val="22"/>
    </w:rPr>
  </w:style>
  <w:style w:type="paragraph" w:customStyle="1" w:styleId="ChapterNumber">
    <w:name w:val="ChapterNumber"/>
    <w:uiPriority w:val="99"/>
    <w:pPr>
      <w:autoSpaceDE w:val="0"/>
      <w:autoSpaceDN w:val="0"/>
      <w:adjustRightInd w:val="0"/>
      <w:spacing w:after="3760" w:line="320" w:lineRule="atLeast"/>
      <w:jc w:val="righ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3pcRL">
    <w:name w:val="Text 3pc R&amp;L"/>
    <w:uiPriority w:val="99"/>
    <w:pPr>
      <w:autoSpaceDE w:val="0"/>
      <w:autoSpaceDN w:val="0"/>
      <w:adjustRightInd w:val="0"/>
      <w:spacing w:after="240" w:line="260" w:lineRule="atLeast"/>
      <w:ind w:left="720" w:right="7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numtabnoindent">
    <w:name w:val="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right="72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Footnote">
    <w:name w:val="Footnote"/>
    <w:uiPriority w:val="99"/>
    <w:pPr>
      <w:tabs>
        <w:tab w:val="left" w:pos="300"/>
      </w:tabs>
      <w:autoSpaceDE w:val="0"/>
      <w:autoSpaceDN w:val="0"/>
      <w:adjustRightInd w:val="0"/>
      <w:spacing w:after="120" w:line="180" w:lineRule="atLeast"/>
      <w:ind w:left="300" w:hanging="30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RomanHead">
    <w:name w:val="Roman Head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RomanIndentRL">
    <w:name w:val="Text Roman Indent RL"/>
    <w:uiPriority w:val="99"/>
    <w:pPr>
      <w:tabs>
        <w:tab w:val="left" w:pos="1340"/>
      </w:tabs>
      <w:autoSpaceDE w:val="0"/>
      <w:autoSpaceDN w:val="0"/>
      <w:adjustRightInd w:val="0"/>
      <w:spacing w:after="240" w:line="260" w:lineRule="atLeast"/>
      <w:ind w:left="1340" w:right="720" w:hanging="62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practiceguide">
    <w:name w:val="practice guide"/>
    <w:uiPriority w:val="99"/>
    <w:pPr>
      <w:keepNext/>
      <w:tabs>
        <w:tab w:val="left" w:pos="520"/>
      </w:tabs>
      <w:autoSpaceDE w:val="0"/>
      <w:autoSpaceDN w:val="0"/>
      <w:adjustRightInd w:val="0"/>
      <w:spacing w:after="240" w:line="300" w:lineRule="atLeast"/>
      <w:jc w:val="center"/>
    </w:pPr>
    <w:rPr>
      <w:rFonts w:ascii="Times" w:hAnsi="Times" w:cs="Times"/>
      <w:b/>
      <w:bCs/>
      <w:color w:val="000000"/>
      <w:w w:val="0"/>
      <w:sz w:val="28"/>
      <w:szCs w:val="28"/>
    </w:rPr>
  </w:style>
  <w:style w:type="paragraph" w:customStyle="1" w:styleId="TextNoindent">
    <w:name w:val="Text No indent"/>
    <w:uiPriority w:val="99"/>
    <w:pPr>
      <w:autoSpaceDE w:val="0"/>
      <w:autoSpaceDN w:val="0"/>
      <w:adjustRightInd w:val="0"/>
      <w:spacing w:after="24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240" w:line="280" w:lineRule="atLeast"/>
      <w:ind w:firstLine="24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lphaHead">
    <w:name w:val="Alpha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80" w:lineRule="atLeast"/>
    </w:pPr>
    <w:rPr>
      <w:rFonts w:ascii="Times" w:hAnsi="Times" w:cs="Times"/>
      <w:b/>
      <w:bCs/>
      <w:color w:val="000000"/>
      <w:w w:val="0"/>
      <w:sz w:val="26"/>
      <w:szCs w:val="26"/>
    </w:rPr>
  </w:style>
  <w:style w:type="paragraph" w:customStyle="1" w:styleId="NumericalHead">
    <w:name w:val="Numerical Head"/>
    <w:uiPriority w:val="99"/>
    <w:pPr>
      <w:keepNext/>
      <w:tabs>
        <w:tab w:val="left" w:pos="380"/>
      </w:tabs>
      <w:autoSpaceDE w:val="0"/>
      <w:autoSpaceDN w:val="0"/>
      <w:adjustRightInd w:val="0"/>
      <w:spacing w:after="240" w:line="26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bottomfolio">
    <w:name w:val="bottom folio"/>
    <w:uiPriority w:val="99"/>
    <w:pPr>
      <w:widowControl w:val="0"/>
      <w:pBdr>
        <w:top w:val="single" w:sz="8" w:space="0" w:color="auto"/>
      </w:pBdr>
      <w:tabs>
        <w:tab w:val="right" w:pos="9600"/>
      </w:tabs>
      <w:autoSpaceDE w:val="0"/>
      <w:autoSpaceDN w:val="0"/>
      <w:adjustRightInd w:val="0"/>
      <w:spacing w:line="240" w:lineRule="atLeast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Footnoteintext">
    <w:name w:val="Footnote in text"/>
    <w:uiPriority w:val="99"/>
    <w:pPr>
      <w:tabs>
        <w:tab w:val="left" w:pos="240"/>
      </w:tabs>
      <w:autoSpaceDE w:val="0"/>
      <w:autoSpaceDN w:val="0"/>
      <w:adjustRightInd w:val="0"/>
      <w:spacing w:after="120" w:line="180" w:lineRule="atLeast"/>
      <w:ind w:left="240" w:hanging="240"/>
      <w:jc w:val="both"/>
    </w:pPr>
    <w:rPr>
      <w:rFonts w:ascii="Times" w:hAnsi="Times" w:cs="Times"/>
      <w:color w:val="000000"/>
      <w:w w:val="0"/>
      <w:sz w:val="18"/>
      <w:szCs w:val="18"/>
    </w:rPr>
  </w:style>
  <w:style w:type="paragraph" w:customStyle="1" w:styleId="ChapterTitle">
    <w:name w:val="ChapterTitle"/>
    <w:uiPriority w:val="99"/>
    <w:pPr>
      <w:autoSpaceDE w:val="0"/>
      <w:autoSpaceDN w:val="0"/>
      <w:adjustRightInd w:val="0"/>
      <w:spacing w:after="1400" w:line="520" w:lineRule="atLeast"/>
      <w:jc w:val="center"/>
    </w:pPr>
    <w:rPr>
      <w:rFonts w:ascii="Times" w:hAnsi="Times" w:cs="Times"/>
      <w:b/>
      <w:bCs/>
      <w:color w:val="000000"/>
      <w:w w:val="0"/>
      <w:sz w:val="48"/>
      <w:szCs w:val="48"/>
    </w:rPr>
  </w:style>
  <w:style w:type="paragraph" w:customStyle="1" w:styleId="textnumtabnoindent">
    <w:name w:val="text num tab no indent"/>
    <w:uiPriority w:val="99"/>
    <w:pPr>
      <w:tabs>
        <w:tab w:val="left" w:pos="480"/>
      </w:tabs>
      <w:autoSpaceDE w:val="0"/>
      <w:autoSpaceDN w:val="0"/>
      <w:adjustRightInd w:val="0"/>
      <w:spacing w:after="240" w:line="260" w:lineRule="atLeast"/>
      <w:ind w:left="480" w:hanging="480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uthor">
    <w:name w:val="Author"/>
    <w:uiPriority w:val="99"/>
    <w:pPr>
      <w:tabs>
        <w:tab w:val="left" w:pos="380"/>
      </w:tabs>
      <w:autoSpaceDE w:val="0"/>
      <w:autoSpaceDN w:val="0"/>
      <w:adjustRightInd w:val="0"/>
      <w:spacing w:after="4000" w:line="400" w:lineRule="atLeast"/>
      <w:jc w:val="center"/>
    </w:pPr>
    <w:rPr>
      <w:rFonts w:ascii="Times" w:hAnsi="Times" w:cs="Times"/>
      <w:b/>
      <w:bCs/>
      <w:color w:val="000000"/>
      <w:w w:val="0"/>
      <w:sz w:val="36"/>
      <w:szCs w:val="36"/>
    </w:rPr>
  </w:style>
  <w:style w:type="paragraph" w:customStyle="1" w:styleId="autonum">
    <w:name w:val="autonum"/>
    <w:uiPriority w:val="99"/>
    <w:pPr>
      <w:autoSpaceDE w:val="0"/>
      <w:autoSpaceDN w:val="0"/>
      <w:adjustRightInd w:val="0"/>
      <w:spacing w:after="240" w:line="240" w:lineRule="atLeast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RightHeader">
    <w:name w:val="Right Header"/>
    <w:uiPriority w:val="99"/>
    <w:pPr>
      <w:widowControl w:val="0"/>
      <w:pBdr>
        <w:bottom w:val="single" w:sz="8" w:space="0" w:color="auto"/>
      </w:pBdr>
      <w:tabs>
        <w:tab w:val="right" w:pos="9720"/>
      </w:tabs>
      <w:autoSpaceDE w:val="0"/>
      <w:autoSpaceDN w:val="0"/>
      <w:adjustRightInd w:val="0"/>
      <w:spacing w:line="240" w:lineRule="atLeast"/>
      <w:jc w:val="both"/>
    </w:pPr>
    <w:rPr>
      <w:rFonts w:ascii="Times" w:hAnsi="Times" w:cs="Times"/>
      <w:b/>
      <w:bCs/>
      <w:color w:val="000000"/>
      <w:w w:val="0"/>
      <w:sz w:val="24"/>
      <w:szCs w:val="24"/>
    </w:rPr>
  </w:style>
  <w:style w:type="paragraph" w:customStyle="1" w:styleId="index">
    <w:name w:val="index"/>
    <w:uiPriority w:val="99"/>
    <w:pPr>
      <w:tabs>
        <w:tab w:val="right" w:leader="dot" w:pos="8300"/>
        <w:tab w:val="left" w:pos="8640"/>
      </w:tabs>
      <w:autoSpaceDE w:val="0"/>
      <w:autoSpaceDN w:val="0"/>
      <w:adjustRightInd w:val="0"/>
      <w:spacing w:after="120" w:line="260" w:lineRule="atLeast"/>
      <w:jc w:val="both"/>
    </w:pPr>
    <w:rPr>
      <w:rFonts w:ascii="Times" w:hAnsi="Times" w:cs="Times"/>
      <w:color w:val="000000"/>
      <w:w w:val="0"/>
      <w:sz w:val="24"/>
      <w:szCs w:val="24"/>
    </w:rPr>
  </w:style>
  <w:style w:type="paragraph" w:customStyle="1" w:styleId="AppendixTitle">
    <w:name w:val="Appendix Title"/>
    <w:uiPriority w:val="99"/>
    <w:pPr>
      <w:keepNext/>
      <w:pageBreakBefore/>
      <w:widowControl w:val="0"/>
      <w:tabs>
        <w:tab w:val="left" w:pos="300"/>
      </w:tabs>
      <w:suppressAutoHyphens/>
      <w:autoSpaceDE w:val="0"/>
      <w:autoSpaceDN w:val="0"/>
      <w:adjustRightInd w:val="0"/>
      <w:spacing w:after="240" w:line="260" w:lineRule="atLeast"/>
      <w:jc w:val="center"/>
    </w:pPr>
    <w:rPr>
      <w:rFonts w:ascii="Times" w:hAnsi="Times" w:cs="Times"/>
      <w:b/>
      <w:bCs/>
      <w:color w:val="000000"/>
      <w:w w:val="0"/>
      <w:sz w:val="24"/>
      <w:szCs w:val="24"/>
    </w:rPr>
  </w:style>
  <w:style w:type="character" w:customStyle="1" w:styleId="bold">
    <w:name w:val="bold"/>
    <w:uiPriority w:val="99"/>
    <w:rPr>
      <w:rFonts w:ascii="Times" w:hAnsi="Times"/>
      <w:b/>
      <w:color w:val="000000"/>
      <w:spacing w:val="0"/>
      <w:sz w:val="24"/>
      <w:vertAlign w:val="baseline"/>
    </w:rPr>
  </w:style>
  <w:style w:type="character" w:customStyle="1" w:styleId="Superscript">
    <w:name w:val="Superscript"/>
    <w:uiPriority w:val="99"/>
    <w:rPr>
      <w:vertAlign w:val="superscript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EquationVariables">
    <w:name w:val="EquationVariables"/>
    <w:uiPriority w:val="99"/>
    <w:rPr>
      <w:i/>
    </w:rPr>
  </w:style>
  <w:style w:type="paragraph" w:styleId="Header">
    <w:name w:val="header"/>
    <w:basedOn w:val="Normal"/>
    <w:link w:val="Head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4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Broker’s Offer Memorandum—Fact Sheet</vt:lpstr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Broker’s Offer Memorandum—Fact Sheet</dc:title>
  <dc:creator>New York State</dc:creator>
  <cp:lastModifiedBy>Kate Hurd</cp:lastModifiedBy>
  <cp:revision>2</cp:revision>
  <dcterms:created xsi:type="dcterms:W3CDTF">2018-04-30T17:54:00Z</dcterms:created>
  <dcterms:modified xsi:type="dcterms:W3CDTF">2018-04-30T17:54:00Z</dcterms:modified>
</cp:coreProperties>
</file>