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D" w:rsidRDefault="0062097D">
      <w:pPr>
        <w:pStyle w:val="AppendixTitle"/>
        <w:rPr>
          <w:w w:val="100"/>
        </w:rPr>
      </w:pPr>
      <w:r>
        <w:rPr>
          <w:w w:val="100"/>
        </w:rPr>
        <w:t>Estimate for Closing Costs—Purchaser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Purchase price</w:t>
      </w:r>
      <w:r>
        <w:rPr>
          <w:w w:val="100"/>
        </w:rPr>
        <w:tab/>
      </w:r>
      <w:r>
        <w:rPr>
          <w:w w:val="100"/>
        </w:rPr>
        <w:tab/>
        <w:t>$400,000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Mortgage amount</w:t>
      </w:r>
      <w:r>
        <w:rPr>
          <w:w w:val="100"/>
        </w:rPr>
        <w:tab/>
      </w:r>
      <w:r>
        <w:rPr>
          <w:w w:val="100"/>
        </w:rPr>
        <w:tab/>
        <w:t>320,000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Premium for fee (owner) title insurance for benefit of purchaser</w:t>
      </w:r>
      <w:r>
        <w:rPr>
          <w:w w:val="100"/>
        </w:rPr>
        <w:tab/>
      </w:r>
      <w:r>
        <w:rPr>
          <w:w w:val="100"/>
        </w:rPr>
        <w:tab/>
        <w:t>1,814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Simultaneous premium for mortgage title insurance for benefit of lender</w:t>
      </w:r>
      <w:r>
        <w:rPr>
          <w:w w:val="100"/>
        </w:rPr>
        <w:tab/>
      </w:r>
      <w:r>
        <w:rPr>
          <w:w w:val="100"/>
        </w:rPr>
        <w:tab/>
        <w:t>380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Additional policy endorsements for lender’s benefit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 xml:space="preserve">[Note: New title rates are pegged to price of fee with a simultaneous lower rate for </w:t>
      </w:r>
      <w:r>
        <w:rPr>
          <w:w w:val="100"/>
        </w:rPr>
        <w:br/>
        <w:t xml:space="preserve">mortgage, reversing former title premium calculations, which were primarily </w:t>
      </w:r>
      <w:r>
        <w:rPr>
          <w:w w:val="100"/>
        </w:rPr>
        <w:br/>
        <w:t>based on mortgage amount.]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New survey (if lucky, bank will accept old survey with inspection update—$55)</w:t>
      </w:r>
      <w:r>
        <w:rPr>
          <w:w w:val="100"/>
        </w:rPr>
        <w:tab/>
      </w:r>
      <w:r>
        <w:rPr>
          <w:w w:val="100"/>
        </w:rPr>
        <w:tab/>
        <w:t>475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Municipal departmental searches</w:t>
      </w:r>
      <w:r>
        <w:rPr>
          <w:w w:val="100"/>
        </w:rPr>
        <w:tab/>
      </w:r>
      <w:r>
        <w:rPr>
          <w:w w:val="100"/>
        </w:rPr>
        <w:tab/>
        <w:t>150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Miscellaneous riders and endorsements to policy (generally requested by lender)</w:t>
      </w:r>
      <w:r>
        <w:rPr>
          <w:w w:val="100"/>
        </w:rPr>
        <w:tab/>
      </w:r>
      <w:r>
        <w:rPr>
          <w:w w:val="100"/>
        </w:rPr>
        <w:tab/>
        <w:t>75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Recording of mortgage and deed</w:t>
      </w:r>
      <w:r>
        <w:rPr>
          <w:w w:val="100"/>
        </w:rPr>
        <w:tab/>
      </w:r>
      <w:r>
        <w:rPr>
          <w:w w:val="100"/>
        </w:rPr>
        <w:tab/>
        <w:t>125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Fee for filing accompanying Equalization and Assessment Report (see revised form</w:t>
      </w:r>
      <w:proofErr w:type="gramStart"/>
      <w:r>
        <w:rPr>
          <w:w w:val="100"/>
        </w:rPr>
        <w:t>,</w:t>
      </w:r>
      <w:proofErr w:type="gramEnd"/>
      <w:r>
        <w:rPr>
          <w:w w:val="100"/>
        </w:rPr>
        <w:br/>
        <w:t>which must be signed by grantor and grantee)</w:t>
      </w:r>
      <w:r>
        <w:rPr>
          <w:w w:val="100"/>
        </w:rPr>
        <w:tab/>
      </w:r>
      <w:r>
        <w:rPr>
          <w:w w:val="100"/>
        </w:rPr>
        <w:tab/>
        <w:t>25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 xml:space="preserve">Mortgage tax @ 1.75% of mortgage amount (less $25 deduction for one- or </w:t>
      </w:r>
      <w:r>
        <w:rPr>
          <w:w w:val="100"/>
        </w:rPr>
        <w:br/>
        <w:t>two-family dwelling) for NYC property (Lender pays additional 1/4%)</w:t>
      </w:r>
      <w:r>
        <w:rPr>
          <w:w w:val="100"/>
          <w:vertAlign w:val="superscript"/>
        </w:rPr>
        <w:footnoteReference w:id="1"/>
      </w:r>
      <w:r>
        <w:rPr>
          <w:w w:val="100"/>
        </w:rPr>
        <w:t xml:space="preserve"> 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 xml:space="preserve">If property </w:t>
      </w:r>
      <w:r>
        <w:rPr>
          <w:i/>
          <w:iCs/>
          <w:w w:val="100"/>
        </w:rPr>
        <w:t>outside</w:t>
      </w:r>
      <w:r>
        <w:rPr>
          <w:w w:val="100"/>
        </w:rPr>
        <w:t xml:space="preserve"> of NYC, mortgage tax @ .1% of mortgage (less $25 deduction </w:t>
      </w:r>
      <w:r>
        <w:rPr>
          <w:w w:val="100"/>
        </w:rPr>
        <w:br/>
        <w:t>for one- or two-family dwelling) (Lender pays additional 1/4%).</w:t>
      </w:r>
      <w:r>
        <w:rPr>
          <w:w w:val="100"/>
          <w:vertAlign w:val="superscript"/>
        </w:rPr>
        <w:footnoteReference w:id="2"/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lastRenderedPageBreak/>
        <w:t xml:space="preserve">Additional city of </w:t>
      </w:r>
      <w:smartTag w:uri="urn:schemas-microsoft-com:office:smarttags" w:element="City">
        <w:r>
          <w:rPr>
            <w:w w:val="100"/>
          </w:rPr>
          <w:t>Yonkers</w:t>
        </w:r>
      </w:smartTag>
      <w:r>
        <w:rPr>
          <w:w w:val="100"/>
        </w:rPr>
        <w:t xml:space="preserve"> mortgage tax of .0050% is imposed on </w:t>
      </w:r>
      <w:smartTag w:uri="urn:schemas-microsoft-com:office:smarttags" w:element="City">
        <w:r>
          <w:rPr>
            <w:w w:val="100"/>
          </w:rPr>
          <w:t>Yonkers</w:t>
        </w:r>
      </w:smartTag>
      <w:r>
        <w:rPr>
          <w:w w:val="100"/>
        </w:rPr>
        <w:t xml:space="preserve"> borrower</w:t>
      </w:r>
      <w:proofErr w:type="gramStart"/>
      <w:r>
        <w:rPr>
          <w:w w:val="100"/>
        </w:rPr>
        <w:t>,</w:t>
      </w:r>
      <w:proofErr w:type="gramEnd"/>
      <w:r>
        <w:rPr>
          <w:w w:val="100"/>
        </w:rPr>
        <w:br/>
        <w:t xml:space="preserve">raising total mortgage tax on </w:t>
      </w:r>
      <w:smartTag w:uri="urn:schemas-microsoft-com:office:smarttags" w:element="place">
        <w:smartTag w:uri="urn:schemas-microsoft-com:office:smarttags" w:element="City">
          <w:r>
            <w:rPr>
              <w:w w:val="100"/>
            </w:rPr>
            <w:t>Yonkers</w:t>
          </w:r>
        </w:smartTag>
      </w:smartTag>
      <w:r>
        <w:rPr>
          <w:w w:val="100"/>
        </w:rPr>
        <w:t xml:space="preserve"> closing to 1.25%, less $25 deduction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Reimbursement to seller by way of adjustment of real estate taxes prepaid by seller</w:t>
      </w:r>
      <w:r>
        <w:rPr>
          <w:w w:val="100"/>
        </w:rPr>
        <w:tab/>
      </w:r>
      <w:r>
        <w:rPr>
          <w:w w:val="100"/>
        </w:rPr>
        <w:tab/>
        <w:t>1,585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Real estate tax escrow picked up by lender at closing</w:t>
      </w:r>
      <w:r>
        <w:rPr>
          <w:w w:val="100"/>
        </w:rPr>
        <w:tab/>
      </w:r>
      <w:r>
        <w:rPr>
          <w:w w:val="100"/>
        </w:rPr>
        <w:tab/>
        <w:t>3,500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[If loan is above 80% of purchase price, bank will also escrow for PMI mortgage insurance.]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Fuel adjustment for oil remaining in tank</w:t>
      </w:r>
      <w:r>
        <w:rPr>
          <w:w w:val="100"/>
        </w:rPr>
        <w:tab/>
      </w:r>
      <w:r>
        <w:rPr>
          <w:w w:val="100"/>
        </w:rPr>
        <w:tab/>
        <w:t>672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 xml:space="preserve">Premium for one-year homeowner’s insurance policy naming bank as loss payee </w:t>
      </w:r>
      <w:r>
        <w:rPr>
          <w:w w:val="100"/>
        </w:rPr>
        <w:br/>
        <w:t>(Bank may also insist on escrow for future homeowner’s insurance)</w:t>
      </w:r>
      <w:r>
        <w:rPr>
          <w:w w:val="100"/>
        </w:rPr>
        <w:tab/>
      </w:r>
      <w:r>
        <w:rPr>
          <w:w w:val="100"/>
        </w:rPr>
        <w:tab/>
        <w:t>1,230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Prepaid interest on new mortgage loan</w:t>
      </w:r>
      <w:r>
        <w:rPr>
          <w:w w:val="100"/>
        </w:rPr>
        <w:tab/>
      </w:r>
      <w:r>
        <w:rPr>
          <w:w w:val="100"/>
        </w:rPr>
        <w:tab/>
        <w:t>605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Bank’s attorney’s fee (depending on bank fees, range from $325 to 1/2% of loan)</w:t>
      </w:r>
      <w:r>
        <w:rPr>
          <w:w w:val="100"/>
        </w:rPr>
        <w:tab/>
      </w:r>
      <w:r>
        <w:rPr>
          <w:w w:val="100"/>
        </w:rPr>
        <w:tab/>
        <w:t>545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 xml:space="preserve">Points or origination fee can vary from 0 to 5 percentage points of loan (usually </w:t>
      </w:r>
      <w:r>
        <w:rPr>
          <w:w w:val="100"/>
        </w:rPr>
        <w:br/>
        <w:t>required to be paid to bank with certified funds)</w:t>
      </w:r>
      <w:r>
        <w:rPr>
          <w:w w:val="100"/>
        </w:rPr>
        <w:tab/>
      </w:r>
      <w:r>
        <w:rPr>
          <w:w w:val="100"/>
        </w:rPr>
        <w:tab/>
        <w:t>4,000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Mortgage application and processing fees including house appraisal and credit checks</w:t>
      </w:r>
      <w:r>
        <w:rPr>
          <w:w w:val="100"/>
        </w:rPr>
        <w:tab/>
      </w:r>
      <w:r>
        <w:rPr>
          <w:w w:val="100"/>
        </w:rPr>
        <w:tab/>
        <w:t>450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Utility security deposit</w:t>
      </w:r>
      <w:r>
        <w:rPr>
          <w:w w:val="100"/>
        </w:rPr>
        <w:tab/>
      </w:r>
      <w:r>
        <w:rPr>
          <w:w w:val="100"/>
        </w:rPr>
        <w:tab/>
        <w:t>250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Counsel fees</w:t>
      </w:r>
      <w:r>
        <w:rPr>
          <w:w w:val="100"/>
        </w:rPr>
        <w:tab/>
      </w:r>
      <w:r>
        <w:rPr>
          <w:w w:val="100"/>
        </w:rPr>
        <w:tab/>
        <w:t>2,000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Moving expenses</w:t>
      </w:r>
      <w:r>
        <w:rPr>
          <w:w w:val="100"/>
        </w:rPr>
        <w:tab/>
      </w:r>
      <w:r>
        <w:rPr>
          <w:w w:val="100"/>
        </w:rPr>
        <w:tab/>
        <w:t>1,000</w:t>
      </w:r>
    </w:p>
    <w:p w:rsidR="0062097D" w:rsidRDefault="0062097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lastRenderedPageBreak/>
        <w:t>TOTAL ESTIMATED CLOSING COSTS</w:t>
      </w:r>
      <w:r>
        <w:rPr>
          <w:w w:val="100"/>
        </w:rPr>
        <w:tab/>
      </w:r>
      <w:r>
        <w:rPr>
          <w:w w:val="100"/>
        </w:rPr>
        <w:tab/>
        <w:t>$20,019</w:t>
      </w:r>
    </w:p>
    <w:p w:rsidR="0062097D" w:rsidRPr="00597E1D" w:rsidRDefault="0062097D" w:rsidP="00597E1D">
      <w:pPr>
        <w:pStyle w:val="TextNoindent"/>
        <w:tabs>
          <w:tab w:val="right" w:pos="9600"/>
        </w:tabs>
        <w:spacing w:line="280" w:lineRule="atLeast"/>
        <w:rPr>
          <w:w w:val="100"/>
        </w:rPr>
      </w:pPr>
      <w:r>
        <w:rPr>
          <w:w w:val="100"/>
        </w:rPr>
        <w:t>Note: While the transfer tax is generally payable by the seller, there are two exceptions: (1) city of Mount Vernon transfer tax—if the purchase price is $100,000 or more, then the buyer pays 1 percent over the first $100,000; and (2) mansions—if the purchase price is $1 million or greater, then the buyer pays 1 percent of the sale price, unless contracted over to the seller. In addition, the seller pays the normal transfer tax.</w:t>
      </w:r>
    </w:p>
    <w:sectPr w:rsidR="0062097D" w:rsidRPr="00597E1D" w:rsidSect="00620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FD" w:rsidRDefault="00E274FD">
      <w:r>
        <w:separator/>
      </w:r>
    </w:p>
  </w:endnote>
  <w:endnote w:type="continuationSeparator" w:id="0">
    <w:p w:rsidR="00E274FD" w:rsidRDefault="00E2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34" w:rsidRDefault="00D81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34" w:rsidRDefault="00D819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34" w:rsidRDefault="00D81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FD" w:rsidRDefault="00E274FD">
      <w:r>
        <w:separator/>
      </w:r>
    </w:p>
  </w:footnote>
  <w:footnote w:type="continuationSeparator" w:id="0">
    <w:p w:rsidR="00E274FD" w:rsidRDefault="00E274FD">
      <w:r>
        <w:continuationSeparator/>
      </w:r>
    </w:p>
  </w:footnote>
  <w:footnote w:id="1">
    <w:p w:rsidR="0062097D" w:rsidRDefault="0062097D">
      <w:pPr>
        <w:pStyle w:val="Footnote"/>
        <w:widowControl w:val="0"/>
        <w:tabs>
          <w:tab w:val="clear" w:pos="300"/>
          <w:tab w:val="left" w:pos="380"/>
        </w:tabs>
        <w:spacing w:line="220" w:lineRule="atLeast"/>
        <w:ind w:left="380" w:hanging="380"/>
      </w:pPr>
      <w:r>
        <w:rPr>
          <w:vertAlign w:val="superscript"/>
        </w:rPr>
        <w:footnoteRef/>
      </w:r>
      <w:r>
        <w:rPr>
          <w:w w:val="100"/>
        </w:rPr>
        <w:t xml:space="preserve">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Tax rate varies according to different time periods.</w:t>
      </w:r>
    </w:p>
  </w:footnote>
  <w:footnote w:id="2">
    <w:p w:rsidR="0062097D" w:rsidRDefault="0062097D">
      <w:pPr>
        <w:pStyle w:val="Footnote"/>
        <w:widowControl w:val="0"/>
        <w:tabs>
          <w:tab w:val="clear" w:pos="300"/>
          <w:tab w:val="left" w:pos="380"/>
        </w:tabs>
        <w:spacing w:line="220" w:lineRule="atLeast"/>
        <w:ind w:left="380" w:hanging="380"/>
      </w:pPr>
      <w:r>
        <w:rPr>
          <w:vertAlign w:val="superscript"/>
        </w:rPr>
        <w:footnoteRef/>
      </w:r>
      <w:r>
        <w:rPr>
          <w:w w:val="100"/>
        </w:rPr>
        <w:t xml:space="preserve">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Tax rate may vary according to different kinds of properties.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34" w:rsidRDefault="00D81934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2" name="Picture 2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934" w:rsidRDefault="00D81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34" w:rsidRDefault="00D81934" w:rsidP="00D81934">
    <w:pPr>
      <w:pStyle w:val="Header"/>
      <w:tabs>
        <w:tab w:val="clear" w:pos="4320"/>
        <w:tab w:val="clear" w:pos="8640"/>
        <w:tab w:val="left" w:pos="3870"/>
      </w:tabs>
    </w:pPr>
    <w:r>
      <w:rPr>
        <w:noProof/>
      </w:rPr>
      <w:drawing>
        <wp:inline distT="0" distB="0" distL="0" distR="0" wp14:anchorId="71B2288A" wp14:editId="5ACA2194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0" w:name="_GoBack"/>
    <w:bookmarkEnd w:id="0"/>
  </w:p>
  <w:p w:rsidR="00D81934" w:rsidRDefault="00D819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34" w:rsidRDefault="00D81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3F"/>
    <w:rsid w:val="00386F53"/>
    <w:rsid w:val="00597E1D"/>
    <w:rsid w:val="005D28AE"/>
    <w:rsid w:val="0062097D"/>
    <w:rsid w:val="007713FA"/>
    <w:rsid w:val="007C5B3A"/>
    <w:rsid w:val="0096403F"/>
    <w:rsid w:val="00BE48C4"/>
    <w:rsid w:val="00D81934"/>
    <w:rsid w:val="00E12A08"/>
    <w:rsid w:val="00E274FD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Heads">
    <w:name w:val="Other Heads"/>
    <w:uiPriority w:val="99"/>
    <w:pPr>
      <w:keepNext/>
      <w:tabs>
        <w:tab w:val="left" w:pos="240"/>
      </w:tabs>
      <w:autoSpaceDE w:val="0"/>
      <w:autoSpaceDN w:val="0"/>
      <w:adjustRightInd w:val="0"/>
      <w:spacing w:after="240" w:line="240" w:lineRule="atLeast"/>
    </w:pPr>
    <w:rPr>
      <w:rFonts w:ascii="Times" w:hAnsi="Times" w:cs="Times"/>
      <w:b/>
      <w:bCs/>
      <w:color w:val="000000"/>
      <w:w w:val="0"/>
      <w:sz w:val="22"/>
      <w:szCs w:val="22"/>
    </w:rPr>
  </w:style>
  <w:style w:type="paragraph" w:customStyle="1" w:styleId="ChapterNumber">
    <w:name w:val="ChapterNumber"/>
    <w:uiPriority w:val="99"/>
    <w:pPr>
      <w:autoSpaceDE w:val="0"/>
      <w:autoSpaceDN w:val="0"/>
      <w:adjustRightInd w:val="0"/>
      <w:spacing w:after="3760" w:line="320" w:lineRule="atLeast"/>
      <w:jc w:val="righ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3pcRL">
    <w:name w:val="Text 3pc R&amp;L"/>
    <w:uiPriority w:val="99"/>
    <w:pPr>
      <w:autoSpaceDE w:val="0"/>
      <w:autoSpaceDN w:val="0"/>
      <w:adjustRightInd w:val="0"/>
      <w:spacing w:after="240" w:line="260" w:lineRule="atLeast"/>
      <w:ind w:left="720" w:right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numtabnoindent">
    <w:name w:val="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right="72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ootnote">
    <w:name w:val="Footnote"/>
    <w:uiPriority w:val="99"/>
    <w:pPr>
      <w:tabs>
        <w:tab w:val="left" w:pos="300"/>
      </w:tabs>
      <w:autoSpaceDE w:val="0"/>
      <w:autoSpaceDN w:val="0"/>
      <w:adjustRightInd w:val="0"/>
      <w:spacing w:after="120" w:line="180" w:lineRule="atLeast"/>
      <w:ind w:left="300" w:hanging="30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RomanHead">
    <w:name w:val="Roman Head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RomanIndentRL">
    <w:name w:val="Text Roman Indent RL"/>
    <w:uiPriority w:val="99"/>
    <w:pPr>
      <w:tabs>
        <w:tab w:val="left" w:pos="1340"/>
      </w:tabs>
      <w:autoSpaceDE w:val="0"/>
      <w:autoSpaceDN w:val="0"/>
      <w:adjustRightInd w:val="0"/>
      <w:spacing w:after="240" w:line="260" w:lineRule="atLeast"/>
      <w:ind w:left="1340" w:right="720" w:hanging="6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acticeguide">
    <w:name w:val="practice guide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Noindent">
    <w:name w:val="Text No indent"/>
    <w:uiPriority w:val="99"/>
    <w:pPr>
      <w:autoSpaceDE w:val="0"/>
      <w:autoSpaceDN w:val="0"/>
      <w:adjustRightInd w:val="0"/>
      <w:spacing w:after="24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240" w:line="280" w:lineRule="atLeast"/>
      <w:ind w:firstLine="24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lphaHead">
    <w:name w:val="Alpha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80" w:lineRule="atLeast"/>
    </w:pPr>
    <w:rPr>
      <w:rFonts w:ascii="Times" w:hAnsi="Times" w:cs="Times"/>
      <w:b/>
      <w:bCs/>
      <w:color w:val="000000"/>
      <w:w w:val="0"/>
      <w:sz w:val="26"/>
      <w:szCs w:val="26"/>
    </w:rPr>
  </w:style>
  <w:style w:type="paragraph" w:customStyle="1" w:styleId="NumericalHead">
    <w:name w:val="Numerical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6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bottomfolio">
    <w:name w:val="bottom folio"/>
    <w:uiPriority w:val="99"/>
    <w:pPr>
      <w:widowControl w:val="0"/>
      <w:pBdr>
        <w:top w:val="single" w:sz="8" w:space="0" w:color="auto"/>
      </w:pBdr>
      <w:tabs>
        <w:tab w:val="right" w:pos="9600"/>
      </w:tabs>
      <w:autoSpaceDE w:val="0"/>
      <w:autoSpaceDN w:val="0"/>
      <w:adjustRightInd w:val="0"/>
      <w:spacing w:line="24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Footnoteintext">
    <w:name w:val="Footnote in text"/>
    <w:uiPriority w:val="99"/>
    <w:pPr>
      <w:tabs>
        <w:tab w:val="left" w:pos="240"/>
      </w:tabs>
      <w:autoSpaceDE w:val="0"/>
      <w:autoSpaceDN w:val="0"/>
      <w:adjustRightInd w:val="0"/>
      <w:spacing w:after="120" w:line="180" w:lineRule="atLeast"/>
      <w:ind w:left="240" w:hanging="24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ChapterTitle">
    <w:name w:val="ChapterTitle"/>
    <w:uiPriority w:val="99"/>
    <w:pPr>
      <w:autoSpaceDE w:val="0"/>
      <w:autoSpaceDN w:val="0"/>
      <w:adjustRightInd w:val="0"/>
      <w:spacing w:after="1400" w:line="52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paragraph" w:customStyle="1" w:styleId="textnumtabnoindent">
    <w:name w:val="text 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uthor">
    <w:name w:val="Author"/>
    <w:uiPriority w:val="99"/>
    <w:pPr>
      <w:tabs>
        <w:tab w:val="left" w:pos="380"/>
      </w:tabs>
      <w:autoSpaceDE w:val="0"/>
      <w:autoSpaceDN w:val="0"/>
      <w:adjustRightInd w:val="0"/>
      <w:spacing w:after="4000" w:line="40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onum">
    <w:name w:val="autonum"/>
    <w:uiPriority w:val="99"/>
    <w:pPr>
      <w:autoSpaceDE w:val="0"/>
      <w:autoSpaceDN w:val="0"/>
      <w:adjustRightInd w:val="0"/>
      <w:spacing w:after="240" w:line="24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ightHeader">
    <w:name w:val="Right Header"/>
    <w:uiPriority w:val="99"/>
    <w:pPr>
      <w:widowControl w:val="0"/>
      <w:pBdr>
        <w:bottom w:val="single" w:sz="8" w:space="0" w:color="auto"/>
      </w:pBdr>
      <w:tabs>
        <w:tab w:val="right" w:pos="9720"/>
      </w:tabs>
      <w:autoSpaceDE w:val="0"/>
      <w:autoSpaceDN w:val="0"/>
      <w:adjustRightInd w:val="0"/>
      <w:spacing w:line="240" w:lineRule="atLeast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index">
    <w:name w:val="index"/>
    <w:uiPriority w:val="99"/>
    <w:pPr>
      <w:tabs>
        <w:tab w:val="right" w:leader="dot" w:pos="8300"/>
        <w:tab w:val="left" w:pos="8640"/>
      </w:tabs>
      <w:autoSpaceDE w:val="0"/>
      <w:autoSpaceDN w:val="0"/>
      <w:adjustRightInd w:val="0"/>
      <w:spacing w:after="12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Title">
    <w:name w:val="Appendix Title"/>
    <w:uiPriority w:val="99"/>
    <w:pPr>
      <w:keepNext/>
      <w:pageBreakBefore/>
      <w:widowControl w:val="0"/>
      <w:tabs>
        <w:tab w:val="left" w:pos="300"/>
      </w:tabs>
      <w:suppressAutoHyphens/>
      <w:autoSpaceDE w:val="0"/>
      <w:autoSpaceDN w:val="0"/>
      <w:adjustRightInd w:val="0"/>
      <w:spacing w:after="240" w:line="26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/>
      <w:b/>
      <w:color w:val="000000"/>
      <w:spacing w:val="0"/>
      <w:sz w:val="24"/>
      <w:vertAlign w:val="baseline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EquationVariables">
    <w:name w:val="EquationVariables"/>
    <w:uiPriority w:val="99"/>
    <w:rPr>
      <w:i/>
    </w:rPr>
  </w:style>
  <w:style w:type="paragraph" w:styleId="Header">
    <w:name w:val="header"/>
    <w:basedOn w:val="Normal"/>
    <w:link w:val="Head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Heads">
    <w:name w:val="Other Heads"/>
    <w:uiPriority w:val="99"/>
    <w:pPr>
      <w:keepNext/>
      <w:tabs>
        <w:tab w:val="left" w:pos="240"/>
      </w:tabs>
      <w:autoSpaceDE w:val="0"/>
      <w:autoSpaceDN w:val="0"/>
      <w:adjustRightInd w:val="0"/>
      <w:spacing w:after="240" w:line="240" w:lineRule="atLeast"/>
    </w:pPr>
    <w:rPr>
      <w:rFonts w:ascii="Times" w:hAnsi="Times" w:cs="Times"/>
      <w:b/>
      <w:bCs/>
      <w:color w:val="000000"/>
      <w:w w:val="0"/>
      <w:sz w:val="22"/>
      <w:szCs w:val="22"/>
    </w:rPr>
  </w:style>
  <w:style w:type="paragraph" w:customStyle="1" w:styleId="ChapterNumber">
    <w:name w:val="ChapterNumber"/>
    <w:uiPriority w:val="99"/>
    <w:pPr>
      <w:autoSpaceDE w:val="0"/>
      <w:autoSpaceDN w:val="0"/>
      <w:adjustRightInd w:val="0"/>
      <w:spacing w:after="3760" w:line="320" w:lineRule="atLeast"/>
      <w:jc w:val="righ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3pcRL">
    <w:name w:val="Text 3pc R&amp;L"/>
    <w:uiPriority w:val="99"/>
    <w:pPr>
      <w:autoSpaceDE w:val="0"/>
      <w:autoSpaceDN w:val="0"/>
      <w:adjustRightInd w:val="0"/>
      <w:spacing w:after="240" w:line="260" w:lineRule="atLeast"/>
      <w:ind w:left="720" w:right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numtabnoindent">
    <w:name w:val="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right="72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ootnote">
    <w:name w:val="Footnote"/>
    <w:uiPriority w:val="99"/>
    <w:pPr>
      <w:tabs>
        <w:tab w:val="left" w:pos="300"/>
      </w:tabs>
      <w:autoSpaceDE w:val="0"/>
      <w:autoSpaceDN w:val="0"/>
      <w:adjustRightInd w:val="0"/>
      <w:spacing w:after="120" w:line="180" w:lineRule="atLeast"/>
      <w:ind w:left="300" w:hanging="30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RomanHead">
    <w:name w:val="Roman Head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RomanIndentRL">
    <w:name w:val="Text Roman Indent RL"/>
    <w:uiPriority w:val="99"/>
    <w:pPr>
      <w:tabs>
        <w:tab w:val="left" w:pos="1340"/>
      </w:tabs>
      <w:autoSpaceDE w:val="0"/>
      <w:autoSpaceDN w:val="0"/>
      <w:adjustRightInd w:val="0"/>
      <w:spacing w:after="240" w:line="260" w:lineRule="atLeast"/>
      <w:ind w:left="1340" w:right="720" w:hanging="6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acticeguide">
    <w:name w:val="practice guide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Noindent">
    <w:name w:val="Text No indent"/>
    <w:uiPriority w:val="99"/>
    <w:pPr>
      <w:autoSpaceDE w:val="0"/>
      <w:autoSpaceDN w:val="0"/>
      <w:adjustRightInd w:val="0"/>
      <w:spacing w:after="24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240" w:line="280" w:lineRule="atLeast"/>
      <w:ind w:firstLine="24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lphaHead">
    <w:name w:val="Alpha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80" w:lineRule="atLeast"/>
    </w:pPr>
    <w:rPr>
      <w:rFonts w:ascii="Times" w:hAnsi="Times" w:cs="Times"/>
      <w:b/>
      <w:bCs/>
      <w:color w:val="000000"/>
      <w:w w:val="0"/>
      <w:sz w:val="26"/>
      <w:szCs w:val="26"/>
    </w:rPr>
  </w:style>
  <w:style w:type="paragraph" w:customStyle="1" w:styleId="NumericalHead">
    <w:name w:val="Numerical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6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bottomfolio">
    <w:name w:val="bottom folio"/>
    <w:uiPriority w:val="99"/>
    <w:pPr>
      <w:widowControl w:val="0"/>
      <w:pBdr>
        <w:top w:val="single" w:sz="8" w:space="0" w:color="auto"/>
      </w:pBdr>
      <w:tabs>
        <w:tab w:val="right" w:pos="9600"/>
      </w:tabs>
      <w:autoSpaceDE w:val="0"/>
      <w:autoSpaceDN w:val="0"/>
      <w:adjustRightInd w:val="0"/>
      <w:spacing w:line="24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Footnoteintext">
    <w:name w:val="Footnote in text"/>
    <w:uiPriority w:val="99"/>
    <w:pPr>
      <w:tabs>
        <w:tab w:val="left" w:pos="240"/>
      </w:tabs>
      <w:autoSpaceDE w:val="0"/>
      <w:autoSpaceDN w:val="0"/>
      <w:adjustRightInd w:val="0"/>
      <w:spacing w:after="120" w:line="180" w:lineRule="atLeast"/>
      <w:ind w:left="240" w:hanging="24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ChapterTitle">
    <w:name w:val="ChapterTitle"/>
    <w:uiPriority w:val="99"/>
    <w:pPr>
      <w:autoSpaceDE w:val="0"/>
      <w:autoSpaceDN w:val="0"/>
      <w:adjustRightInd w:val="0"/>
      <w:spacing w:after="1400" w:line="52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paragraph" w:customStyle="1" w:styleId="textnumtabnoindent">
    <w:name w:val="text 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uthor">
    <w:name w:val="Author"/>
    <w:uiPriority w:val="99"/>
    <w:pPr>
      <w:tabs>
        <w:tab w:val="left" w:pos="380"/>
      </w:tabs>
      <w:autoSpaceDE w:val="0"/>
      <w:autoSpaceDN w:val="0"/>
      <w:adjustRightInd w:val="0"/>
      <w:spacing w:after="4000" w:line="40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onum">
    <w:name w:val="autonum"/>
    <w:uiPriority w:val="99"/>
    <w:pPr>
      <w:autoSpaceDE w:val="0"/>
      <w:autoSpaceDN w:val="0"/>
      <w:adjustRightInd w:val="0"/>
      <w:spacing w:after="240" w:line="24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ightHeader">
    <w:name w:val="Right Header"/>
    <w:uiPriority w:val="99"/>
    <w:pPr>
      <w:widowControl w:val="0"/>
      <w:pBdr>
        <w:bottom w:val="single" w:sz="8" w:space="0" w:color="auto"/>
      </w:pBdr>
      <w:tabs>
        <w:tab w:val="right" w:pos="9720"/>
      </w:tabs>
      <w:autoSpaceDE w:val="0"/>
      <w:autoSpaceDN w:val="0"/>
      <w:adjustRightInd w:val="0"/>
      <w:spacing w:line="240" w:lineRule="atLeast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index">
    <w:name w:val="index"/>
    <w:uiPriority w:val="99"/>
    <w:pPr>
      <w:tabs>
        <w:tab w:val="right" w:leader="dot" w:pos="8300"/>
        <w:tab w:val="left" w:pos="8640"/>
      </w:tabs>
      <w:autoSpaceDE w:val="0"/>
      <w:autoSpaceDN w:val="0"/>
      <w:adjustRightInd w:val="0"/>
      <w:spacing w:after="12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Title">
    <w:name w:val="Appendix Title"/>
    <w:uiPriority w:val="99"/>
    <w:pPr>
      <w:keepNext/>
      <w:pageBreakBefore/>
      <w:widowControl w:val="0"/>
      <w:tabs>
        <w:tab w:val="left" w:pos="300"/>
      </w:tabs>
      <w:suppressAutoHyphens/>
      <w:autoSpaceDE w:val="0"/>
      <w:autoSpaceDN w:val="0"/>
      <w:adjustRightInd w:val="0"/>
      <w:spacing w:after="240" w:line="26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/>
      <w:b/>
      <w:color w:val="000000"/>
      <w:spacing w:val="0"/>
      <w:sz w:val="24"/>
      <w:vertAlign w:val="baseline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EquationVariables">
    <w:name w:val="EquationVariables"/>
    <w:uiPriority w:val="99"/>
    <w:rPr>
      <w:i/>
    </w:rPr>
  </w:style>
  <w:style w:type="paragraph" w:styleId="Header">
    <w:name w:val="header"/>
    <w:basedOn w:val="Normal"/>
    <w:link w:val="Head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Broker’s Offer Memorandum—Fact Sheet</vt:lpstr>
    </vt:vector>
  </TitlesOfParts>
  <Company>Hewlett-Packard Company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Broker’s Offer Memorandum—Fact Sheet</dc:title>
  <dc:creator>New York State</dc:creator>
  <cp:lastModifiedBy>Kate Hurd</cp:lastModifiedBy>
  <cp:revision>2</cp:revision>
  <dcterms:created xsi:type="dcterms:W3CDTF">2018-04-30T17:53:00Z</dcterms:created>
  <dcterms:modified xsi:type="dcterms:W3CDTF">2018-04-30T17:53:00Z</dcterms:modified>
</cp:coreProperties>
</file>